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3"/>
        <w:ind w:left="2671" w:right="2708" w:firstLine="0"/>
        <w:jc w:val="center"/>
        <w:rPr>
          <w:b/>
          <w:sz w:val="20"/>
        </w:rPr>
      </w:pPr>
      <w:bookmarkStart w:name="Cover" w:id="1"/>
      <w:bookmarkEnd w:id="1"/>
      <w:r>
        <w:rPr/>
      </w:r>
      <w:r>
        <w:rPr>
          <w:b/>
          <w:sz w:val="20"/>
        </w:rPr>
        <w:t>UNITED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STATES</w:t>
      </w:r>
    </w:p>
    <w:p>
      <w:pPr>
        <w:spacing w:line="249" w:lineRule="auto" w:before="10"/>
        <w:ind w:left="2670" w:right="2708" w:firstLine="0"/>
        <w:jc w:val="center"/>
        <w:rPr>
          <w:b/>
          <w:sz w:val="20"/>
        </w:rPr>
      </w:pPr>
      <w:r>
        <w:rPr>
          <w:b/>
          <w:sz w:val="20"/>
        </w:rPr>
        <w:t>SECURITIES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EXCHANGE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COMMISSION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WASHINGTON,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DC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20549</w:t>
      </w:r>
    </w:p>
    <w:p>
      <w:pPr>
        <w:pStyle w:val="BodyText"/>
        <w:rPr>
          <w:b/>
          <w:sz w:val="21"/>
        </w:rPr>
      </w:pPr>
    </w:p>
    <w:p>
      <w:pPr>
        <w:spacing w:before="0"/>
        <w:ind w:left="2670" w:right="2708" w:firstLine="0"/>
        <w:jc w:val="center"/>
        <w:rPr>
          <w:b/>
          <w:sz w:val="20"/>
        </w:rPr>
      </w:pPr>
      <w:r>
        <w:rPr>
          <w:b/>
          <w:sz w:val="20"/>
        </w:rPr>
        <w:t>SCHEDULE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14A</w:t>
      </w:r>
    </w:p>
    <w:p>
      <w:pPr>
        <w:spacing w:before="10"/>
        <w:ind w:left="2670" w:right="2708" w:firstLine="0"/>
        <w:jc w:val="center"/>
        <w:rPr>
          <w:b/>
          <w:sz w:val="20"/>
        </w:rPr>
      </w:pPr>
      <w:r>
        <w:rPr>
          <w:b/>
          <w:sz w:val="20"/>
        </w:rPr>
        <w:t>(Rule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14a-101)</w:t>
      </w:r>
    </w:p>
    <w:p>
      <w:pPr>
        <w:pStyle w:val="BodyText"/>
        <w:spacing w:before="8"/>
        <w:rPr>
          <w:b/>
          <w:sz w:val="21"/>
        </w:rPr>
      </w:pPr>
    </w:p>
    <w:p>
      <w:pPr>
        <w:pStyle w:val="Heading4"/>
        <w:spacing w:line="501" w:lineRule="auto"/>
        <w:ind w:left="2670" w:right="2708"/>
        <w:jc w:val="center"/>
      </w:pPr>
      <w:r>
        <w:rPr/>
        <w:t>INFORMATION</w:t>
      </w:r>
      <w:r>
        <w:rPr>
          <w:spacing w:val="-8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PROXY</w:t>
      </w:r>
      <w:r>
        <w:rPr>
          <w:spacing w:val="-7"/>
        </w:rPr>
        <w:t> </w:t>
      </w:r>
      <w:r>
        <w:rPr/>
        <w:t>STATEMENT</w:t>
      </w:r>
      <w:r>
        <w:rPr>
          <w:spacing w:val="-53"/>
        </w:rPr>
        <w:t> </w:t>
      </w:r>
      <w:r>
        <w:rPr/>
        <w:t>SCHEDULE</w:t>
      </w:r>
      <w:r>
        <w:rPr>
          <w:spacing w:val="-2"/>
        </w:rPr>
        <w:t> </w:t>
      </w:r>
      <w:r>
        <w:rPr/>
        <w:t>14A</w:t>
      </w:r>
      <w:r>
        <w:rPr>
          <w:spacing w:val="-1"/>
        </w:rPr>
        <w:t> </w:t>
      </w:r>
      <w:r>
        <w:rPr/>
        <w:t>INFORMATION</w:t>
      </w:r>
    </w:p>
    <w:p>
      <w:pPr>
        <w:pStyle w:val="Heading5"/>
        <w:spacing w:line="249" w:lineRule="auto"/>
        <w:ind w:left="2554" w:right="2592"/>
        <w:jc w:val="center"/>
      </w:pPr>
      <w:r>
        <w:rPr/>
        <w:t>Proxy</w:t>
      </w:r>
      <w:r>
        <w:rPr>
          <w:spacing w:val="-5"/>
        </w:rPr>
        <w:t> </w:t>
      </w:r>
      <w:r>
        <w:rPr/>
        <w:t>Statement</w:t>
      </w:r>
      <w:r>
        <w:rPr>
          <w:spacing w:val="-6"/>
        </w:rPr>
        <w:t> </w:t>
      </w:r>
      <w:r>
        <w:rPr/>
        <w:t>Pursuant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Section</w:t>
      </w:r>
      <w:r>
        <w:rPr>
          <w:spacing w:val="-5"/>
        </w:rPr>
        <w:t> </w:t>
      </w:r>
      <w:r>
        <w:rPr/>
        <w:t>14(a)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Securities</w:t>
      </w:r>
      <w:r>
        <w:rPr>
          <w:spacing w:val="-52"/>
        </w:rPr>
        <w:t> </w:t>
      </w:r>
      <w:r>
        <w:rPr/>
        <w:t>Exchange</w:t>
      </w:r>
      <w:r>
        <w:rPr>
          <w:spacing w:val="-2"/>
        </w:rPr>
        <w:t> </w:t>
      </w:r>
      <w:r>
        <w:rPr/>
        <w:t>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1934</w:t>
      </w:r>
    </w:p>
    <w:p>
      <w:pPr>
        <w:pStyle w:val="BodyText"/>
        <w:spacing w:before="11"/>
        <w:rPr>
          <w:b/>
        </w:rPr>
      </w:pPr>
    </w:p>
    <w:p>
      <w:pPr>
        <w:pStyle w:val="BodyText"/>
        <w:ind w:left="520"/>
      </w:pPr>
      <w:r>
        <w:rPr/>
        <w:t>Filed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Registrant</w:t>
      </w:r>
      <w:r>
        <w:rPr>
          <w:spacing w:val="-4"/>
        </w:rPr>
        <w:t> </w:t>
      </w:r>
      <w:r>
        <w:rPr/>
        <w:t>[X]</w:t>
      </w:r>
    </w:p>
    <w:p>
      <w:pPr>
        <w:pStyle w:val="BodyText"/>
        <w:spacing w:line="501" w:lineRule="auto" w:before="10"/>
        <w:ind w:left="250" w:right="6129" w:firstLine="270"/>
      </w:pPr>
      <w:r>
        <w:rPr/>
        <w:t>Filed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Party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Registrant</w:t>
      </w:r>
      <w:r>
        <w:rPr>
          <w:spacing w:val="51"/>
        </w:rPr>
        <w:t> </w:t>
      </w:r>
      <w:r>
        <w:rPr/>
        <w:t>[</w:t>
      </w:r>
      <w:r>
        <w:rPr>
          <w:spacing w:val="50"/>
        </w:rPr>
        <w:t> </w:t>
      </w:r>
      <w:r>
        <w:rPr/>
        <w:t>]</w:t>
      </w:r>
      <w:r>
        <w:rPr>
          <w:spacing w:val="-53"/>
        </w:rPr>
        <w:t> </w:t>
      </w:r>
      <w:r>
        <w:rPr/>
        <w:t>Check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box:</w:t>
      </w:r>
    </w:p>
    <w:p>
      <w:pPr>
        <w:pStyle w:val="BodyText"/>
        <w:spacing w:line="229" w:lineRule="exact"/>
        <w:ind w:left="520"/>
      </w:pPr>
      <w:r>
        <w:rPr/>
        <w:t>[</w:t>
      </w:r>
      <w:r>
        <w:rPr>
          <w:spacing w:val="105"/>
        </w:rPr>
        <w:t> </w:t>
      </w:r>
      <w:r>
        <w:rPr/>
        <w:t>]</w:t>
      </w:r>
      <w:r>
        <w:rPr>
          <w:spacing w:val="57"/>
        </w:rPr>
        <w:t> </w:t>
      </w:r>
      <w:r>
        <w:rPr/>
        <w:t>Preliminary</w:t>
      </w:r>
      <w:r>
        <w:rPr>
          <w:spacing w:val="-3"/>
        </w:rPr>
        <w:t> </w:t>
      </w:r>
      <w:r>
        <w:rPr/>
        <w:t>proxy</w:t>
      </w:r>
      <w:r>
        <w:rPr>
          <w:spacing w:val="-2"/>
        </w:rPr>
        <w:t> </w:t>
      </w:r>
      <w:r>
        <w:rPr/>
        <w:t>statement</w:t>
      </w:r>
    </w:p>
    <w:p>
      <w:pPr>
        <w:pStyle w:val="Heading5"/>
        <w:spacing w:before="10"/>
        <w:ind w:left="520"/>
      </w:pPr>
      <w:r>
        <w:rPr/>
        <w:t>[</w:t>
      </w:r>
      <w:r>
        <w:rPr>
          <w:spacing w:val="48"/>
        </w:rPr>
        <w:t> </w:t>
      </w:r>
      <w:r>
        <w:rPr/>
        <w:t>]</w:t>
      </w:r>
      <w:r>
        <w:rPr>
          <w:spacing w:val="87"/>
        </w:rPr>
        <w:t> </w:t>
      </w:r>
      <w:r>
        <w:rPr/>
        <w:t>Confidential,</w:t>
      </w:r>
      <w:r>
        <w:rPr>
          <w:spacing w:val="-4"/>
        </w:rPr>
        <w:t> </w:t>
      </w:r>
      <w:r>
        <w:rPr/>
        <w:t>for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Commission</w:t>
      </w:r>
      <w:r>
        <w:rPr>
          <w:spacing w:val="-4"/>
        </w:rPr>
        <w:t> </w:t>
      </w:r>
      <w:r>
        <w:rPr/>
        <w:t>Only</w:t>
      </w:r>
      <w:r>
        <w:rPr>
          <w:spacing w:val="-3"/>
        </w:rPr>
        <w:t> </w:t>
      </w:r>
      <w:r>
        <w:rPr/>
        <w:t>(as</w:t>
      </w:r>
      <w:r>
        <w:rPr>
          <w:spacing w:val="-4"/>
        </w:rPr>
        <w:t> </w:t>
      </w:r>
      <w:r>
        <w:rPr/>
        <w:t>permitted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Rule</w:t>
      </w:r>
      <w:r>
        <w:rPr>
          <w:spacing w:val="-3"/>
        </w:rPr>
        <w:t> </w:t>
      </w:r>
      <w:r>
        <w:rPr/>
        <w:t>14a-6(e)(2))</w:t>
      </w:r>
    </w:p>
    <w:p>
      <w:pPr>
        <w:pStyle w:val="BodyText"/>
        <w:tabs>
          <w:tab w:pos="969" w:val="left" w:leader="none"/>
        </w:tabs>
        <w:spacing w:before="10"/>
        <w:ind w:left="520"/>
      </w:pPr>
      <w:r>
        <w:rPr/>
        <w:t>[X]</w:t>
        <w:tab/>
        <w:t>Definitive</w:t>
      </w:r>
      <w:r>
        <w:rPr>
          <w:spacing w:val="-6"/>
        </w:rPr>
        <w:t> </w:t>
      </w:r>
      <w:r>
        <w:rPr/>
        <w:t>proxy</w:t>
      </w:r>
      <w:r>
        <w:rPr>
          <w:spacing w:val="-6"/>
        </w:rPr>
        <w:t> </w:t>
      </w:r>
      <w:r>
        <w:rPr/>
        <w:t>statement</w:t>
      </w:r>
    </w:p>
    <w:p>
      <w:pPr>
        <w:pStyle w:val="BodyText"/>
        <w:spacing w:before="10"/>
        <w:ind w:left="520"/>
      </w:pPr>
      <w:r>
        <w:rPr/>
        <w:t>[</w:t>
      </w:r>
      <w:r>
        <w:rPr>
          <w:spacing w:val="48"/>
        </w:rPr>
        <w:t> </w:t>
      </w:r>
      <w:r>
        <w:rPr/>
        <w:t>]</w:t>
      </w:r>
      <w:r>
        <w:rPr>
          <w:spacing w:val="109"/>
        </w:rPr>
        <w:t> </w:t>
      </w:r>
      <w:r>
        <w:rPr/>
        <w:t>Definitive</w:t>
      </w:r>
      <w:r>
        <w:rPr>
          <w:spacing w:val="-4"/>
        </w:rPr>
        <w:t> </w:t>
      </w:r>
      <w:r>
        <w:rPr/>
        <w:t>additional</w:t>
      </w:r>
      <w:r>
        <w:rPr>
          <w:spacing w:val="-3"/>
        </w:rPr>
        <w:t> </w:t>
      </w:r>
      <w:r>
        <w:rPr/>
        <w:t>materials</w:t>
      </w:r>
    </w:p>
    <w:p>
      <w:pPr>
        <w:pStyle w:val="BodyText"/>
        <w:spacing w:line="501" w:lineRule="auto" w:before="10"/>
        <w:ind w:left="250" w:right="6129" w:firstLine="270"/>
      </w:pPr>
      <w:r>
        <w:rPr/>
        <w:t>[</w:t>
      </w:r>
      <w:r>
        <w:rPr>
          <w:spacing w:val="1"/>
        </w:rPr>
        <w:t> </w:t>
      </w:r>
      <w:r>
        <w:rPr/>
        <w:t>]</w:t>
      </w:r>
      <w:r>
        <w:rPr>
          <w:spacing w:val="1"/>
        </w:rPr>
        <w:t> </w:t>
      </w:r>
      <w:r>
        <w:rPr/>
        <w:t>Soliciting Material pursuant to §14a-12</w:t>
      </w:r>
      <w:r>
        <w:rPr>
          <w:spacing w:val="-53"/>
        </w:rPr>
        <w:t> </w:t>
      </w:r>
      <w:r>
        <w:rPr/>
        <w:t>Name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Registrant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Specified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its</w:t>
      </w:r>
      <w:r>
        <w:rPr>
          <w:spacing w:val="-4"/>
        </w:rPr>
        <w:t> </w:t>
      </w:r>
      <w:r>
        <w:rPr/>
        <w:t>Charter:</w:t>
      </w:r>
    </w:p>
    <w:p>
      <w:pPr>
        <w:spacing w:line="266" w:lineRule="exact" w:before="0"/>
        <w:ind w:left="2673" w:right="2708" w:firstLine="0"/>
        <w:jc w:val="center"/>
        <w:rPr>
          <w:b/>
          <w:sz w:val="24"/>
        </w:rPr>
      </w:pPr>
      <w:r>
        <w:rPr>
          <w:b/>
          <w:sz w:val="24"/>
        </w:rPr>
        <w:t>EQUITY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LIFESTYLE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PROPERTIES,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INC.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501" w:lineRule="auto"/>
        <w:ind w:left="520" w:right="4211" w:hanging="270"/>
      </w:pPr>
      <w:r>
        <w:rPr/>
        <w:t>Name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Person(s)</w:t>
      </w:r>
      <w:r>
        <w:rPr>
          <w:spacing w:val="-4"/>
        </w:rPr>
        <w:t> </w:t>
      </w:r>
      <w:r>
        <w:rPr/>
        <w:t>Filing</w:t>
      </w:r>
      <w:r>
        <w:rPr>
          <w:spacing w:val="-5"/>
        </w:rPr>
        <w:t> </w:t>
      </w:r>
      <w:r>
        <w:rPr/>
        <w:t>Proxy</w:t>
      </w:r>
      <w:r>
        <w:rPr>
          <w:spacing w:val="-4"/>
        </w:rPr>
        <w:t> </w:t>
      </w:r>
      <w:r>
        <w:rPr/>
        <w:t>Statement</w:t>
      </w:r>
      <w:r>
        <w:rPr>
          <w:spacing w:val="-5"/>
        </w:rPr>
        <w:t> </w:t>
      </w:r>
      <w:r>
        <w:rPr/>
        <w:t>if</w:t>
      </w:r>
      <w:r>
        <w:rPr>
          <w:spacing w:val="-5"/>
        </w:rPr>
        <w:t> </w:t>
      </w:r>
      <w:r>
        <w:rPr/>
        <w:t>other</w:t>
      </w:r>
      <w:r>
        <w:rPr>
          <w:spacing w:val="-4"/>
        </w:rPr>
        <w:t> </w:t>
      </w:r>
      <w:r>
        <w:rPr/>
        <w:t>than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Registrant:</w:t>
      </w:r>
      <w:r>
        <w:rPr>
          <w:spacing w:val="-53"/>
        </w:rPr>
        <w:t> </w:t>
      </w:r>
      <w:r>
        <w:rPr/>
        <w:t>N/A</w:t>
      </w:r>
    </w:p>
    <w:p>
      <w:pPr>
        <w:pStyle w:val="BodyText"/>
        <w:spacing w:line="229" w:lineRule="exact"/>
        <w:ind w:left="250"/>
      </w:pPr>
      <w:r>
        <w:rPr/>
        <w:t>Payment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filing</w:t>
      </w:r>
      <w:r>
        <w:rPr>
          <w:spacing w:val="-4"/>
        </w:rPr>
        <w:t> </w:t>
      </w:r>
      <w:r>
        <w:rPr/>
        <w:t>fee</w:t>
      </w:r>
      <w:r>
        <w:rPr>
          <w:spacing w:val="-4"/>
        </w:rPr>
        <w:t> </w:t>
      </w:r>
      <w:r>
        <w:rPr/>
        <w:t>(check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appropriate</w:t>
      </w:r>
      <w:r>
        <w:rPr>
          <w:spacing w:val="-5"/>
        </w:rPr>
        <w:t> </w:t>
      </w:r>
      <w:r>
        <w:rPr/>
        <w:t>box):</w:t>
      </w:r>
    </w:p>
    <w:p>
      <w:pPr>
        <w:pStyle w:val="BodyText"/>
        <w:spacing w:before="9"/>
        <w:rPr>
          <w:sz w:val="21"/>
        </w:rPr>
      </w:pPr>
    </w:p>
    <w:p>
      <w:pPr>
        <w:pStyle w:val="ListParagraph"/>
        <w:numPr>
          <w:ilvl w:val="0"/>
          <w:numId w:val="1"/>
        </w:numPr>
        <w:tabs>
          <w:tab w:pos="789" w:val="left" w:leader="none"/>
          <w:tab w:pos="790" w:val="left" w:leader="none"/>
        </w:tabs>
        <w:spacing w:line="240" w:lineRule="auto" w:before="0" w:after="0"/>
        <w:ind w:left="790" w:right="0" w:hanging="540"/>
        <w:jc w:val="left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fee</w:t>
      </w:r>
      <w:r>
        <w:rPr>
          <w:spacing w:val="-4"/>
          <w:sz w:val="20"/>
        </w:rPr>
        <w:t> </w:t>
      </w:r>
      <w:r>
        <w:rPr>
          <w:sz w:val="20"/>
        </w:rPr>
        <w:t>required.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789" w:val="left" w:leader="none"/>
        </w:tabs>
        <w:spacing w:before="1"/>
        <w:ind w:left="250"/>
      </w:pPr>
      <w:r>
        <w:rPr/>
        <w:t>[</w:t>
      </w:r>
      <w:r>
        <w:rPr>
          <w:spacing w:val="110"/>
        </w:rPr>
        <w:t> </w:t>
      </w:r>
      <w:r>
        <w:rPr/>
        <w:t>]</w:t>
        <w:tab/>
      </w:r>
      <w:r>
        <w:rPr>
          <w:spacing w:val="-1"/>
        </w:rPr>
        <w:t>Fee</w:t>
      </w:r>
      <w:r>
        <w:rPr>
          <w:spacing w:val="-4"/>
        </w:rPr>
        <w:t> </w:t>
      </w:r>
      <w:r>
        <w:rPr>
          <w:spacing w:val="-1"/>
        </w:rPr>
        <w:t>computed</w:t>
      </w:r>
      <w:r>
        <w:rPr>
          <w:spacing w:val="-3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1"/>
        </w:rPr>
        <w:t>table</w:t>
      </w:r>
      <w:r>
        <w:rPr>
          <w:spacing w:val="-3"/>
        </w:rPr>
        <w:t> </w:t>
      </w:r>
      <w:r>
        <w:rPr>
          <w:spacing w:val="-1"/>
        </w:rPr>
        <w:t>below</w:t>
      </w:r>
      <w:r>
        <w:rPr>
          <w:spacing w:val="-4"/>
        </w:rPr>
        <w:t> </w:t>
      </w:r>
      <w:r>
        <w:rPr>
          <w:spacing w:val="-1"/>
        </w:rPr>
        <w:t>per</w:t>
      </w:r>
      <w:r>
        <w:rPr>
          <w:spacing w:val="-3"/>
        </w:rPr>
        <w:t> </w:t>
      </w:r>
      <w:r>
        <w:rPr/>
        <w:t>Exchange</w:t>
      </w:r>
      <w:r>
        <w:rPr>
          <w:spacing w:val="-14"/>
        </w:rPr>
        <w:t> </w:t>
      </w:r>
      <w:r>
        <w:rPr/>
        <w:t>Act</w:t>
      </w:r>
      <w:r>
        <w:rPr>
          <w:spacing w:val="-3"/>
        </w:rPr>
        <w:t> </w:t>
      </w:r>
      <w:r>
        <w:rPr/>
        <w:t>Rules</w:t>
      </w:r>
      <w:r>
        <w:rPr>
          <w:spacing w:val="-3"/>
        </w:rPr>
        <w:t> </w:t>
      </w:r>
      <w:r>
        <w:rPr/>
        <w:t>14a-6(i)(1)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0-11.</w:t>
      </w:r>
    </w:p>
    <w:p>
      <w:pPr>
        <w:pStyle w:val="BodyText"/>
        <w:spacing w:before="8"/>
        <w:rPr>
          <w:sz w:val="21"/>
        </w:rPr>
      </w:pP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240" w:lineRule="auto" w:before="0" w:after="0"/>
        <w:ind w:left="1330" w:right="0" w:hanging="360"/>
        <w:jc w:val="left"/>
        <w:rPr>
          <w:sz w:val="20"/>
        </w:rPr>
      </w:pPr>
      <w:r>
        <w:rPr>
          <w:sz w:val="20"/>
        </w:rPr>
        <w:t>Title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each</w:t>
      </w:r>
      <w:r>
        <w:rPr>
          <w:spacing w:val="-5"/>
          <w:sz w:val="20"/>
        </w:rPr>
        <w:t> </w:t>
      </w:r>
      <w:r>
        <w:rPr>
          <w:sz w:val="20"/>
        </w:rPr>
        <w:t>class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securities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transaction</w:t>
      </w:r>
      <w:r>
        <w:rPr>
          <w:spacing w:val="-5"/>
          <w:sz w:val="20"/>
        </w:rPr>
        <w:t> </w:t>
      </w:r>
      <w:r>
        <w:rPr>
          <w:sz w:val="20"/>
        </w:rPr>
        <w:t>applies:</w:t>
      </w: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240" w:lineRule="auto" w:before="10" w:after="0"/>
        <w:ind w:left="1330" w:right="0" w:hanging="360"/>
        <w:jc w:val="left"/>
        <w:rPr>
          <w:sz w:val="20"/>
        </w:rPr>
      </w:pPr>
      <w:r>
        <w:rPr>
          <w:sz w:val="20"/>
        </w:rPr>
        <w:t>Aggregate</w:t>
      </w:r>
      <w:r>
        <w:rPr>
          <w:spacing w:val="-6"/>
          <w:sz w:val="20"/>
        </w:rPr>
        <w:t> </w:t>
      </w:r>
      <w:r>
        <w:rPr>
          <w:sz w:val="20"/>
        </w:rPr>
        <w:t>number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securities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transaction</w:t>
      </w:r>
      <w:r>
        <w:rPr>
          <w:spacing w:val="-5"/>
          <w:sz w:val="20"/>
        </w:rPr>
        <w:t> </w:t>
      </w:r>
      <w:r>
        <w:rPr>
          <w:sz w:val="20"/>
        </w:rPr>
        <w:t>applies:</w:t>
      </w: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249" w:lineRule="auto" w:before="10" w:after="0"/>
        <w:ind w:left="1330" w:right="287" w:hanging="360"/>
        <w:jc w:val="left"/>
        <w:rPr>
          <w:sz w:val="20"/>
        </w:rPr>
      </w:pPr>
      <w:r>
        <w:rPr>
          <w:sz w:val="20"/>
        </w:rPr>
        <w:t>Per</w:t>
      </w:r>
      <w:r>
        <w:rPr>
          <w:spacing w:val="16"/>
          <w:sz w:val="20"/>
        </w:rPr>
        <w:t> </w:t>
      </w:r>
      <w:r>
        <w:rPr>
          <w:sz w:val="20"/>
        </w:rPr>
        <w:t>unit</w:t>
      </w:r>
      <w:r>
        <w:rPr>
          <w:spacing w:val="16"/>
          <w:sz w:val="20"/>
        </w:rPr>
        <w:t> </w:t>
      </w:r>
      <w:r>
        <w:rPr>
          <w:sz w:val="20"/>
        </w:rPr>
        <w:t>price</w:t>
      </w:r>
      <w:r>
        <w:rPr>
          <w:spacing w:val="17"/>
          <w:sz w:val="20"/>
        </w:rPr>
        <w:t> </w:t>
      </w:r>
      <w:r>
        <w:rPr>
          <w:sz w:val="20"/>
        </w:rPr>
        <w:t>or</w:t>
      </w:r>
      <w:r>
        <w:rPr>
          <w:spacing w:val="17"/>
          <w:sz w:val="20"/>
        </w:rPr>
        <w:t> </w:t>
      </w:r>
      <w:r>
        <w:rPr>
          <w:sz w:val="20"/>
        </w:rPr>
        <w:t>other</w:t>
      </w:r>
      <w:r>
        <w:rPr>
          <w:spacing w:val="16"/>
          <w:sz w:val="20"/>
        </w:rPr>
        <w:t> </w:t>
      </w:r>
      <w:r>
        <w:rPr>
          <w:sz w:val="20"/>
        </w:rPr>
        <w:t>underlying</w:t>
      </w:r>
      <w:r>
        <w:rPr>
          <w:spacing w:val="17"/>
          <w:sz w:val="20"/>
        </w:rPr>
        <w:t> </w:t>
      </w:r>
      <w:r>
        <w:rPr>
          <w:sz w:val="20"/>
        </w:rPr>
        <w:t>value</w:t>
      </w:r>
      <w:r>
        <w:rPr>
          <w:spacing w:val="17"/>
          <w:sz w:val="20"/>
        </w:rPr>
        <w:t> </w:t>
      </w:r>
      <w:r>
        <w:rPr>
          <w:sz w:val="20"/>
        </w:rPr>
        <w:t>of</w:t>
      </w:r>
      <w:r>
        <w:rPr>
          <w:spacing w:val="16"/>
          <w:sz w:val="20"/>
        </w:rPr>
        <w:t> </w:t>
      </w:r>
      <w:r>
        <w:rPr>
          <w:sz w:val="20"/>
        </w:rPr>
        <w:t>transaction</w:t>
      </w:r>
      <w:r>
        <w:rPr>
          <w:spacing w:val="16"/>
          <w:sz w:val="20"/>
        </w:rPr>
        <w:t> </w:t>
      </w:r>
      <w:r>
        <w:rPr>
          <w:sz w:val="20"/>
        </w:rPr>
        <w:t>computed</w:t>
      </w:r>
      <w:r>
        <w:rPr>
          <w:spacing w:val="17"/>
          <w:sz w:val="20"/>
        </w:rPr>
        <w:t> </w:t>
      </w:r>
      <w:r>
        <w:rPr>
          <w:sz w:val="20"/>
        </w:rPr>
        <w:t>pursuant</w:t>
      </w:r>
      <w:r>
        <w:rPr>
          <w:spacing w:val="16"/>
          <w:sz w:val="20"/>
        </w:rPr>
        <w:t> </w:t>
      </w:r>
      <w:r>
        <w:rPr>
          <w:sz w:val="20"/>
        </w:rPr>
        <w:t>to</w:t>
      </w:r>
      <w:r>
        <w:rPr>
          <w:spacing w:val="17"/>
          <w:sz w:val="20"/>
        </w:rPr>
        <w:t> </w:t>
      </w:r>
      <w:r>
        <w:rPr>
          <w:sz w:val="20"/>
        </w:rPr>
        <w:t>Exchange</w:t>
      </w:r>
      <w:r>
        <w:rPr>
          <w:spacing w:val="6"/>
          <w:sz w:val="20"/>
        </w:rPr>
        <w:t> </w:t>
      </w:r>
      <w:r>
        <w:rPr>
          <w:sz w:val="20"/>
        </w:rPr>
        <w:t>Act</w:t>
      </w:r>
      <w:r>
        <w:rPr>
          <w:spacing w:val="16"/>
          <w:sz w:val="20"/>
        </w:rPr>
        <w:t> </w:t>
      </w:r>
      <w:r>
        <w:rPr>
          <w:sz w:val="20"/>
        </w:rPr>
        <w:t>Rule</w:t>
      </w:r>
      <w:r>
        <w:rPr>
          <w:spacing w:val="17"/>
          <w:sz w:val="20"/>
        </w:rPr>
        <w:t> </w:t>
      </w:r>
      <w:r>
        <w:rPr>
          <w:sz w:val="20"/>
        </w:rPr>
        <w:t>0-11</w:t>
      </w:r>
      <w:r>
        <w:rPr>
          <w:spacing w:val="-53"/>
          <w:sz w:val="20"/>
        </w:rPr>
        <w:t> </w:t>
      </w:r>
      <w:r>
        <w:rPr>
          <w:sz w:val="20"/>
        </w:rPr>
        <w:t>(set</w:t>
      </w:r>
      <w:r>
        <w:rPr>
          <w:spacing w:val="-3"/>
          <w:sz w:val="20"/>
        </w:rPr>
        <w:t> </w:t>
      </w:r>
      <w:r>
        <w:rPr>
          <w:sz w:val="20"/>
        </w:rPr>
        <w:t>forth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amount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2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filing</w:t>
      </w:r>
      <w:r>
        <w:rPr>
          <w:spacing w:val="-3"/>
          <w:sz w:val="20"/>
        </w:rPr>
        <w:t> </w:t>
      </w:r>
      <w:r>
        <w:rPr>
          <w:sz w:val="20"/>
        </w:rPr>
        <w:t>fee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2"/>
          <w:sz w:val="20"/>
        </w:rPr>
        <w:t> </w:t>
      </w:r>
      <w:r>
        <w:rPr>
          <w:sz w:val="20"/>
        </w:rPr>
        <w:t>calculated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state</w:t>
      </w:r>
      <w:r>
        <w:rPr>
          <w:spacing w:val="-2"/>
          <w:sz w:val="20"/>
        </w:rPr>
        <w:t> </w:t>
      </w:r>
      <w:r>
        <w:rPr>
          <w:sz w:val="20"/>
        </w:rPr>
        <w:t>how</w:t>
      </w:r>
      <w:r>
        <w:rPr>
          <w:spacing w:val="-2"/>
          <w:sz w:val="20"/>
        </w:rPr>
        <w:t> </w:t>
      </w:r>
      <w:r>
        <w:rPr>
          <w:sz w:val="20"/>
        </w:rPr>
        <w:t>it</w:t>
      </w:r>
      <w:r>
        <w:rPr>
          <w:spacing w:val="-3"/>
          <w:sz w:val="20"/>
        </w:rPr>
        <w:t> </w:t>
      </w:r>
      <w:r>
        <w:rPr>
          <w:sz w:val="20"/>
        </w:rPr>
        <w:t>was</w:t>
      </w:r>
      <w:r>
        <w:rPr>
          <w:spacing w:val="-2"/>
          <w:sz w:val="20"/>
        </w:rPr>
        <w:t> </w:t>
      </w:r>
      <w:r>
        <w:rPr>
          <w:sz w:val="20"/>
        </w:rPr>
        <w:t>determined):</w:t>
      </w: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240" w:lineRule="auto" w:before="2" w:after="0"/>
        <w:ind w:left="1330" w:right="0" w:hanging="360"/>
        <w:jc w:val="left"/>
        <w:rPr>
          <w:sz w:val="20"/>
        </w:rPr>
      </w:pPr>
      <w:r>
        <w:rPr>
          <w:sz w:val="20"/>
        </w:rPr>
        <w:t>Proposed</w:t>
      </w:r>
      <w:r>
        <w:rPr>
          <w:spacing w:val="-6"/>
          <w:sz w:val="20"/>
        </w:rPr>
        <w:t> </w:t>
      </w:r>
      <w:r>
        <w:rPr>
          <w:sz w:val="20"/>
        </w:rPr>
        <w:t>maximum</w:t>
      </w:r>
      <w:r>
        <w:rPr>
          <w:spacing w:val="-5"/>
          <w:sz w:val="20"/>
        </w:rPr>
        <w:t> </w:t>
      </w:r>
      <w:r>
        <w:rPr>
          <w:sz w:val="20"/>
        </w:rPr>
        <w:t>aggregate</w:t>
      </w:r>
      <w:r>
        <w:rPr>
          <w:spacing w:val="-6"/>
          <w:sz w:val="20"/>
        </w:rPr>
        <w:t> </w:t>
      </w:r>
      <w:r>
        <w:rPr>
          <w:sz w:val="20"/>
        </w:rPr>
        <w:t>value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transaction:</w:t>
      </w:r>
    </w:p>
    <w:p>
      <w:pPr>
        <w:pStyle w:val="ListParagraph"/>
        <w:numPr>
          <w:ilvl w:val="1"/>
          <w:numId w:val="1"/>
        </w:numPr>
        <w:tabs>
          <w:tab w:pos="1330" w:val="left" w:leader="none"/>
        </w:tabs>
        <w:spacing w:line="240" w:lineRule="auto" w:before="10" w:after="0"/>
        <w:ind w:left="1330" w:right="0" w:hanging="360"/>
        <w:jc w:val="left"/>
        <w:rPr>
          <w:sz w:val="20"/>
        </w:rPr>
      </w:pPr>
      <w:r>
        <w:rPr>
          <w:sz w:val="20"/>
        </w:rPr>
        <w:t>Total</w:t>
      </w:r>
      <w:r>
        <w:rPr>
          <w:spacing w:val="-11"/>
          <w:sz w:val="20"/>
        </w:rPr>
        <w:t> </w:t>
      </w:r>
      <w:r>
        <w:rPr>
          <w:sz w:val="20"/>
        </w:rPr>
        <w:t>fee</w:t>
      </w:r>
      <w:r>
        <w:rPr>
          <w:spacing w:val="-11"/>
          <w:sz w:val="20"/>
        </w:rPr>
        <w:t> </w:t>
      </w:r>
      <w:r>
        <w:rPr>
          <w:sz w:val="20"/>
        </w:rPr>
        <w:t>paid: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tabs>
          <w:tab w:pos="789" w:val="left" w:leader="none"/>
        </w:tabs>
        <w:ind w:left="250"/>
      </w:pPr>
      <w:r>
        <w:rPr/>
        <w:t>[</w:t>
      </w:r>
      <w:r>
        <w:rPr>
          <w:spacing w:val="110"/>
        </w:rPr>
        <w:t> </w:t>
      </w:r>
      <w:r>
        <w:rPr/>
        <w:t>]</w:t>
        <w:tab/>
        <w:t>Fee</w:t>
      </w:r>
      <w:r>
        <w:rPr>
          <w:spacing w:val="-6"/>
        </w:rPr>
        <w:t> </w:t>
      </w:r>
      <w:r>
        <w:rPr/>
        <w:t>paid</w:t>
      </w:r>
      <w:r>
        <w:rPr>
          <w:spacing w:val="-5"/>
        </w:rPr>
        <w:t> </w:t>
      </w:r>
      <w:r>
        <w:rPr/>
        <w:t>previously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preliminary</w:t>
      </w:r>
      <w:r>
        <w:rPr>
          <w:spacing w:val="-5"/>
        </w:rPr>
        <w:t> </w:t>
      </w:r>
      <w:r>
        <w:rPr/>
        <w:t>materials.</w:t>
      </w: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49" w:lineRule="auto"/>
        <w:ind w:left="250" w:right="288"/>
        <w:jc w:val="both"/>
      </w:pPr>
      <w:r>
        <w:rPr/>
        <w:t>[</w:t>
      </w:r>
      <w:r>
        <w:rPr>
          <w:spacing w:val="1"/>
        </w:rPr>
        <w:t> </w:t>
      </w:r>
      <w:r>
        <w:rPr/>
        <w:t>]</w:t>
      </w:r>
      <w:r>
        <w:rPr>
          <w:spacing w:val="1"/>
        </w:rPr>
        <w:t> </w:t>
      </w:r>
      <w:r>
        <w:rPr/>
        <w:t>Check box if any part of the fee is offset as provided by Exchange Act Rule 0-11(a)(2) and identify the filing for</w:t>
      </w:r>
      <w:r>
        <w:rPr>
          <w:spacing w:val="1"/>
        </w:rPr>
        <w:t> </w:t>
      </w:r>
      <w:r>
        <w:rPr/>
        <w:t>which the offsetting fee was paid previously. Identify the previous filing by registration statement number, or the</w:t>
      </w:r>
      <w:r>
        <w:rPr>
          <w:spacing w:val="1"/>
        </w:rPr>
        <w:t> </w:t>
      </w:r>
      <w:r>
        <w:rPr/>
        <w:t>Form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filing.</w:t>
      </w:r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0"/>
          <w:numId w:val="2"/>
        </w:numPr>
        <w:tabs>
          <w:tab w:pos="1240" w:val="left" w:leader="none"/>
        </w:tabs>
        <w:spacing w:line="240" w:lineRule="auto" w:before="0" w:after="0"/>
        <w:ind w:left="1240" w:right="0" w:hanging="360"/>
        <w:jc w:val="left"/>
        <w:rPr>
          <w:sz w:val="20"/>
        </w:rPr>
      </w:pPr>
      <w:r>
        <w:rPr>
          <w:sz w:val="20"/>
        </w:rPr>
        <w:t>Amount</w:t>
      </w:r>
      <w:r>
        <w:rPr>
          <w:spacing w:val="-6"/>
          <w:sz w:val="20"/>
        </w:rPr>
        <w:t> </w:t>
      </w:r>
      <w:r>
        <w:rPr>
          <w:sz w:val="20"/>
        </w:rPr>
        <w:t>previously</w:t>
      </w:r>
      <w:r>
        <w:rPr>
          <w:spacing w:val="-5"/>
          <w:sz w:val="20"/>
        </w:rPr>
        <w:t> </w:t>
      </w:r>
      <w:r>
        <w:rPr>
          <w:sz w:val="20"/>
        </w:rPr>
        <w:t>paid:</w:t>
      </w:r>
    </w:p>
    <w:p>
      <w:pPr>
        <w:pStyle w:val="ListParagraph"/>
        <w:numPr>
          <w:ilvl w:val="0"/>
          <w:numId w:val="2"/>
        </w:numPr>
        <w:tabs>
          <w:tab w:pos="1240" w:val="left" w:leader="none"/>
        </w:tabs>
        <w:spacing w:line="240" w:lineRule="auto" w:before="10" w:after="0"/>
        <w:ind w:left="1240" w:right="0" w:hanging="360"/>
        <w:jc w:val="left"/>
        <w:rPr>
          <w:sz w:val="20"/>
        </w:rPr>
      </w:pPr>
      <w:r>
        <w:rPr>
          <w:sz w:val="20"/>
        </w:rPr>
        <w:t>Form,</w:t>
      </w:r>
      <w:r>
        <w:rPr>
          <w:spacing w:val="-6"/>
          <w:sz w:val="20"/>
        </w:rPr>
        <w:t> </w:t>
      </w:r>
      <w:r>
        <w:rPr>
          <w:sz w:val="20"/>
        </w:rPr>
        <w:t>Schedule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6"/>
          <w:sz w:val="20"/>
        </w:rPr>
        <w:t> </w:t>
      </w:r>
      <w:r>
        <w:rPr>
          <w:sz w:val="20"/>
        </w:rPr>
        <w:t>Registration</w:t>
      </w:r>
      <w:r>
        <w:rPr>
          <w:spacing w:val="-5"/>
          <w:sz w:val="20"/>
        </w:rPr>
        <w:t> </w:t>
      </w:r>
      <w:r>
        <w:rPr>
          <w:sz w:val="20"/>
        </w:rPr>
        <w:t>Statement</w:t>
      </w:r>
      <w:r>
        <w:rPr>
          <w:spacing w:val="-6"/>
          <w:sz w:val="20"/>
        </w:rPr>
        <w:t> </w:t>
      </w:r>
      <w:r>
        <w:rPr>
          <w:sz w:val="20"/>
        </w:rPr>
        <w:t>No.:</w:t>
      </w:r>
    </w:p>
    <w:p>
      <w:pPr>
        <w:pStyle w:val="ListParagraph"/>
        <w:numPr>
          <w:ilvl w:val="0"/>
          <w:numId w:val="2"/>
        </w:numPr>
        <w:tabs>
          <w:tab w:pos="1240" w:val="left" w:leader="none"/>
        </w:tabs>
        <w:spacing w:line="240" w:lineRule="auto" w:before="10" w:after="0"/>
        <w:ind w:left="1240" w:right="0" w:hanging="360"/>
        <w:jc w:val="left"/>
        <w:rPr>
          <w:sz w:val="20"/>
        </w:rPr>
      </w:pPr>
      <w:r>
        <w:rPr>
          <w:sz w:val="20"/>
        </w:rPr>
        <w:t>Filing</w:t>
      </w:r>
      <w:r>
        <w:rPr>
          <w:spacing w:val="-5"/>
          <w:sz w:val="20"/>
        </w:rPr>
        <w:t> </w:t>
      </w:r>
      <w:r>
        <w:rPr>
          <w:sz w:val="20"/>
        </w:rPr>
        <w:t>party:</w:t>
      </w:r>
    </w:p>
    <w:p>
      <w:pPr>
        <w:pStyle w:val="ListParagraph"/>
        <w:numPr>
          <w:ilvl w:val="0"/>
          <w:numId w:val="2"/>
        </w:numPr>
        <w:tabs>
          <w:tab w:pos="1240" w:val="left" w:leader="none"/>
        </w:tabs>
        <w:spacing w:line="240" w:lineRule="auto" w:before="10" w:after="0"/>
        <w:ind w:left="1240" w:right="0" w:hanging="360"/>
        <w:jc w:val="left"/>
        <w:rPr>
          <w:sz w:val="20"/>
        </w:rPr>
      </w:pPr>
      <w:r>
        <w:rPr>
          <w:sz w:val="20"/>
        </w:rPr>
        <w:t>Date</w:t>
      </w:r>
      <w:r>
        <w:rPr>
          <w:spacing w:val="-5"/>
          <w:sz w:val="20"/>
        </w:rPr>
        <w:t> </w:t>
      </w:r>
      <w:r>
        <w:rPr>
          <w:sz w:val="20"/>
        </w:rPr>
        <w:t>filed: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top="860" w:bottom="280" w:left="740" w:right="700"/>
        </w:sectPr>
      </w:pPr>
    </w:p>
    <w:p>
      <w:pPr>
        <w:pStyle w:val="BodyText"/>
        <w:ind w:left="100"/>
      </w:pPr>
      <w:bookmarkStart w:name="Photo Cover" w:id="2"/>
      <w:bookmarkEnd w:id="2"/>
      <w:r>
        <w:rPr/>
      </w:r>
      <w:bookmarkStart w:name="Notice" w:id="3"/>
      <w:bookmarkEnd w:id="3"/>
      <w:r>
        <w:rPr/>
      </w:r>
      <w:r>
        <w:rPr/>
        <w:drawing>
          <wp:inline distT="0" distB="0" distL="0" distR="0">
            <wp:extent cx="6575226" cy="848677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226" cy="848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top="1100" w:bottom="280" w:left="740" w:right="700"/>
        </w:sectPr>
      </w:pPr>
    </w:p>
    <w:p>
      <w:pPr>
        <w:pStyle w:val="Heading3"/>
        <w:spacing w:line="244" w:lineRule="auto" w:before="68"/>
        <w:ind w:left="3328" w:right="2636" w:hanging="709"/>
      </w:pPr>
      <w:r>
        <w:rPr>
          <w:color w:val="00539E"/>
        </w:rPr>
        <w:t>NOTICE OF ANNUAL MEETING OF STOCKHOLDERS</w:t>
      </w:r>
      <w:r>
        <w:rPr>
          <w:color w:val="00539E"/>
          <w:spacing w:val="-60"/>
        </w:rPr>
        <w:t> </w:t>
      </w:r>
      <w:r>
        <w:rPr>
          <w:color w:val="00539E"/>
        </w:rPr>
        <w:t>EQUITY</w:t>
      </w:r>
      <w:r>
        <w:rPr>
          <w:color w:val="00539E"/>
          <w:spacing w:val="-1"/>
        </w:rPr>
        <w:t> </w:t>
      </w:r>
      <w:r>
        <w:rPr>
          <w:color w:val="00539E"/>
        </w:rPr>
        <w:t>LIFESTYLE</w:t>
      </w:r>
      <w:r>
        <w:rPr>
          <w:color w:val="00539E"/>
          <w:spacing w:val="-1"/>
        </w:rPr>
        <w:t> </w:t>
      </w:r>
      <w:r>
        <w:rPr>
          <w:color w:val="00539E"/>
        </w:rPr>
        <w:t>PROPERTIES,</w:t>
      </w:r>
      <w:r>
        <w:rPr>
          <w:color w:val="00539E"/>
          <w:spacing w:val="-1"/>
        </w:rPr>
        <w:t> </w:t>
      </w:r>
      <w:r>
        <w:rPr>
          <w:color w:val="00539E"/>
        </w:rPr>
        <w:t>INC.</w:t>
      </w:r>
    </w:p>
    <w:p>
      <w:pPr>
        <w:pStyle w:val="BodyText"/>
        <w:spacing w:before="8"/>
        <w:rPr>
          <w:b/>
          <w:sz w:val="22"/>
        </w:rPr>
      </w:pPr>
    </w:p>
    <w:p>
      <w:pPr>
        <w:pStyle w:val="Heading5"/>
      </w:pPr>
      <w:r>
        <w:rPr/>
        <w:t>To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Shareholders:</w:t>
      </w:r>
    </w:p>
    <w:p>
      <w:pPr>
        <w:pStyle w:val="BodyText"/>
        <w:spacing w:line="244" w:lineRule="auto" w:before="4"/>
        <w:ind w:left="250" w:right="282"/>
      </w:pPr>
      <w:r>
        <w:rPr>
          <w:spacing w:val="-1"/>
        </w:rPr>
        <w:t>You are cordially invited </w:t>
      </w:r>
      <w:r>
        <w:rPr/>
        <w:t>to attend the 2022 Annual Meeting of Stockholders (the "Annual Meeting") of Equity</w:t>
      </w:r>
      <w:r>
        <w:rPr>
          <w:spacing w:val="1"/>
        </w:rPr>
        <w:t> </w:t>
      </w:r>
      <w:r>
        <w:rPr>
          <w:spacing w:val="-1"/>
        </w:rPr>
        <w:t>LifeStyle Properties, Inc. You will be able to attend </w:t>
      </w:r>
      <w:r>
        <w:rPr/>
        <w:t>the virtual Annual Meeting, vote your shares electronically and</w:t>
      </w:r>
      <w:r>
        <w:rPr>
          <w:spacing w:val="1"/>
        </w:rPr>
        <w:t> </w:t>
      </w:r>
      <w:r>
        <w:rPr/>
        <w:t>submit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live</w:t>
      </w:r>
      <w:r>
        <w:rPr>
          <w:spacing w:val="-1"/>
        </w:rPr>
        <w:t> </w:t>
      </w:r>
      <w:r>
        <w:rPr/>
        <w:t>webcast.</w:t>
      </w:r>
    </w:p>
    <w:p>
      <w:pPr>
        <w:spacing w:after="0" w:line="244" w:lineRule="auto"/>
        <w:sectPr>
          <w:pgSz w:w="12240" w:h="15840"/>
          <w:pgMar w:top="740" w:bottom="280" w:left="740" w:right="700"/>
        </w:sectPr>
      </w:pPr>
    </w:p>
    <w:p>
      <w:pPr>
        <w:pStyle w:val="Heading4"/>
        <w:tabs>
          <w:tab w:pos="754" w:val="left" w:leader="none"/>
        </w:tabs>
        <w:spacing w:before="99"/>
      </w:pPr>
      <w:r>
        <w:rPr>
          <w:rFonts w:ascii="Wingdings" w:hAnsi="Wingdings"/>
          <w:b w:val="0"/>
          <w:color w:val="F08A1F"/>
          <w:w w:val="65"/>
          <w:sz w:val="32"/>
        </w:rPr>
        <w:t></w:t>
      </w:r>
      <w:r>
        <w:rPr>
          <w:rFonts w:ascii="Times New Roman" w:hAnsi="Times New Roman"/>
          <w:b w:val="0"/>
          <w:color w:val="F08A1F"/>
          <w:w w:val="65"/>
          <w:sz w:val="32"/>
        </w:rPr>
        <w:tab/>
      </w:r>
      <w:r>
        <w:rPr>
          <w:color w:val="00539E"/>
        </w:rPr>
        <w:t>DATE</w:t>
      </w:r>
      <w:r>
        <w:rPr>
          <w:color w:val="00539E"/>
          <w:spacing w:val="-3"/>
        </w:rPr>
        <w:t> </w:t>
      </w:r>
      <w:r>
        <w:rPr>
          <w:color w:val="00539E"/>
        </w:rPr>
        <w:t>AND</w:t>
      </w:r>
      <w:r>
        <w:rPr>
          <w:color w:val="00539E"/>
          <w:spacing w:val="-3"/>
        </w:rPr>
        <w:t> </w:t>
      </w:r>
      <w:r>
        <w:rPr>
          <w:color w:val="00539E"/>
        </w:rPr>
        <w:t>TIME</w:t>
      </w:r>
    </w:p>
    <w:p>
      <w:pPr>
        <w:spacing w:line="249" w:lineRule="auto" w:before="23"/>
        <w:ind w:left="250" w:right="2619" w:firstLine="0"/>
        <w:jc w:val="left"/>
        <w:rPr>
          <w:sz w:val="18"/>
        </w:rPr>
      </w:pPr>
      <w:r>
        <w:rPr>
          <w:spacing w:val="-2"/>
          <w:sz w:val="18"/>
        </w:rPr>
        <w:t>Tuesday, April </w:t>
      </w:r>
      <w:r>
        <w:rPr>
          <w:spacing w:val="-1"/>
          <w:sz w:val="18"/>
        </w:rPr>
        <w:t>26, 2022</w:t>
      </w:r>
      <w:r>
        <w:rPr>
          <w:spacing w:val="-47"/>
          <w:sz w:val="18"/>
        </w:rPr>
        <w:t> </w:t>
      </w:r>
      <w:r>
        <w:rPr>
          <w:sz w:val="18"/>
        </w:rPr>
        <w:t>9:00</w:t>
      </w:r>
      <w:r>
        <w:rPr>
          <w:spacing w:val="-4"/>
          <w:sz w:val="18"/>
        </w:rPr>
        <w:t> </w:t>
      </w:r>
      <w:r>
        <w:rPr>
          <w:sz w:val="18"/>
        </w:rPr>
        <w:t>a.m.</w:t>
      </w:r>
      <w:r>
        <w:rPr>
          <w:spacing w:val="-4"/>
          <w:sz w:val="18"/>
        </w:rPr>
        <w:t> </w:t>
      </w:r>
      <w:r>
        <w:rPr>
          <w:sz w:val="18"/>
        </w:rPr>
        <w:t>Central</w:t>
      </w:r>
      <w:r>
        <w:rPr>
          <w:spacing w:val="-7"/>
          <w:sz w:val="18"/>
        </w:rPr>
        <w:t> </w:t>
      </w:r>
      <w:r>
        <w:rPr>
          <w:sz w:val="18"/>
        </w:rPr>
        <w:t>Time</w:t>
      </w:r>
    </w:p>
    <w:p>
      <w:pPr>
        <w:pStyle w:val="BodyText"/>
        <w:spacing w:before="2"/>
        <w:rPr>
          <w:sz w:val="22"/>
        </w:rPr>
      </w:pPr>
    </w:p>
    <w:p>
      <w:pPr>
        <w:pStyle w:val="Heading4"/>
        <w:tabs>
          <w:tab w:pos="770" w:val="left" w:leader="none"/>
        </w:tabs>
      </w:pPr>
      <w:r>
        <w:rPr>
          <w:rFonts w:ascii="Wingdings" w:hAnsi="Wingdings"/>
          <w:b w:val="0"/>
          <w:color w:val="F08A1F"/>
          <w:sz w:val="32"/>
        </w:rPr>
        <w:t></w:t>
      </w:r>
      <w:r>
        <w:rPr>
          <w:rFonts w:ascii="Times New Roman" w:hAnsi="Times New Roman"/>
          <w:b w:val="0"/>
          <w:color w:val="F08A1F"/>
          <w:sz w:val="32"/>
        </w:rPr>
        <w:tab/>
      </w:r>
      <w:r>
        <w:rPr>
          <w:color w:val="00539E"/>
        </w:rPr>
        <w:t>ACCESS</w:t>
      </w:r>
      <w:r>
        <w:rPr>
          <w:color w:val="00539E"/>
          <w:spacing w:val="-5"/>
        </w:rPr>
        <w:t> </w:t>
      </w:r>
      <w:r>
        <w:rPr>
          <w:color w:val="00539E"/>
        </w:rPr>
        <w:t>THE</w:t>
      </w:r>
      <w:r>
        <w:rPr>
          <w:color w:val="00539E"/>
          <w:spacing w:val="-4"/>
        </w:rPr>
        <w:t> </w:t>
      </w:r>
      <w:r>
        <w:rPr>
          <w:color w:val="00539E"/>
        </w:rPr>
        <w:t>ANNUAL</w:t>
      </w:r>
      <w:r>
        <w:rPr>
          <w:color w:val="00539E"/>
          <w:spacing w:val="-5"/>
        </w:rPr>
        <w:t> </w:t>
      </w:r>
      <w:r>
        <w:rPr>
          <w:color w:val="00539E"/>
        </w:rPr>
        <w:t>MEETING</w:t>
      </w:r>
    </w:p>
    <w:p>
      <w:pPr>
        <w:spacing w:line="249" w:lineRule="auto" w:before="23"/>
        <w:ind w:left="250" w:right="553" w:firstLine="0"/>
        <w:jc w:val="left"/>
        <w:rPr>
          <w:i/>
          <w:sz w:val="18"/>
        </w:rPr>
      </w:pPr>
      <w:r>
        <w:rPr>
          <w:spacing w:val="-1"/>
          <w:sz w:val="18"/>
        </w:rPr>
        <w:t>Stockholders </w:t>
      </w:r>
      <w:r>
        <w:rPr>
          <w:sz w:val="18"/>
        </w:rPr>
        <w:t>may participate in the virtual Annual</w:t>
      </w:r>
      <w:r>
        <w:rPr>
          <w:spacing w:val="-47"/>
          <w:sz w:val="18"/>
        </w:rPr>
        <w:t> </w:t>
      </w:r>
      <w:r>
        <w:rPr>
          <w:sz w:val="18"/>
        </w:rPr>
        <w:t>Meeting by logging in at</w:t>
      </w:r>
      <w:r>
        <w:rPr>
          <w:spacing w:val="1"/>
          <w:sz w:val="18"/>
        </w:rPr>
        <w:t> </w:t>
      </w:r>
      <w:hyperlink r:id="rId6">
        <w:r>
          <w:rPr>
            <w:i/>
            <w:color w:val="0E99D6"/>
            <w:sz w:val="18"/>
          </w:rPr>
          <w:t>www.virtualshareholdermeeting.com/ELS2022.</w:t>
        </w:r>
      </w:hyperlink>
    </w:p>
    <w:p>
      <w:pPr>
        <w:pStyle w:val="BodyText"/>
        <w:spacing w:before="2"/>
        <w:rPr>
          <w:i/>
        </w:rPr>
      </w:pPr>
    </w:p>
    <w:p>
      <w:pPr>
        <w:pStyle w:val="Heading4"/>
        <w:spacing w:before="1"/>
      </w:pPr>
      <w:r>
        <w:rPr>
          <w:rFonts w:ascii="Wingdings" w:hAnsi="Wingdings"/>
          <w:b w:val="0"/>
          <w:color w:val="F08A1F"/>
          <w:spacing w:val="-1"/>
          <w:w w:val="130"/>
          <w:sz w:val="32"/>
        </w:rPr>
        <w:t></w:t>
      </w:r>
      <w:r>
        <w:rPr>
          <w:rFonts w:ascii="Times New Roman" w:hAnsi="Times New Roman"/>
          <w:b w:val="0"/>
          <w:color w:val="F08A1F"/>
          <w:spacing w:val="67"/>
          <w:w w:val="130"/>
          <w:sz w:val="32"/>
        </w:rPr>
        <w:t> </w:t>
      </w:r>
      <w:r>
        <w:rPr>
          <w:color w:val="00539E"/>
          <w:spacing w:val="-1"/>
          <w:w w:val="110"/>
        </w:rPr>
        <w:t>RECORD</w:t>
      </w:r>
      <w:r>
        <w:rPr>
          <w:color w:val="00539E"/>
          <w:spacing w:val="-14"/>
          <w:w w:val="110"/>
        </w:rPr>
        <w:t> </w:t>
      </w:r>
      <w:r>
        <w:rPr>
          <w:color w:val="00539E"/>
          <w:spacing w:val="-1"/>
          <w:w w:val="110"/>
        </w:rPr>
        <w:t>DATE</w:t>
      </w:r>
    </w:p>
    <w:p>
      <w:pPr>
        <w:spacing w:line="249" w:lineRule="auto" w:before="22"/>
        <w:ind w:left="250" w:right="20" w:firstLine="0"/>
        <w:jc w:val="left"/>
        <w:rPr>
          <w:sz w:val="18"/>
        </w:rPr>
      </w:pPr>
      <w:r>
        <w:rPr>
          <w:sz w:val="18"/>
        </w:rPr>
        <w:t>Stockholders of record at the close of business on</w:t>
      </w:r>
      <w:r>
        <w:rPr>
          <w:spacing w:val="1"/>
          <w:sz w:val="18"/>
        </w:rPr>
        <w:t> </w:t>
      </w:r>
      <w:r>
        <w:rPr>
          <w:sz w:val="18"/>
        </w:rPr>
        <w:t>February 18, 2022 (the "Record Date") are entitled to</w:t>
      </w:r>
      <w:r>
        <w:rPr>
          <w:spacing w:val="1"/>
          <w:sz w:val="18"/>
        </w:rPr>
        <w:t> </w:t>
      </w:r>
      <w:r>
        <w:rPr>
          <w:sz w:val="18"/>
        </w:rPr>
        <w:t>attend and vote at the Annual Meeting. On that date,</w:t>
      </w:r>
      <w:r>
        <w:rPr>
          <w:spacing w:val="1"/>
          <w:sz w:val="18"/>
        </w:rPr>
        <w:t> </w:t>
      </w:r>
      <w:r>
        <w:rPr>
          <w:sz w:val="18"/>
        </w:rPr>
        <w:t>there were 186,014,442 shares of Common Stock of</w:t>
      </w:r>
      <w:r>
        <w:rPr>
          <w:spacing w:val="1"/>
          <w:sz w:val="18"/>
        </w:rPr>
        <w:t> </w:t>
      </w:r>
      <w:r>
        <w:rPr>
          <w:sz w:val="18"/>
        </w:rPr>
        <w:t>Equity LifeStyle Properties, Inc. outstanding and entitled</w:t>
      </w:r>
      <w:r>
        <w:rPr>
          <w:spacing w:val="-48"/>
          <w:sz w:val="18"/>
        </w:rPr>
        <w:t> </w:t>
      </w:r>
      <w:r>
        <w:rPr>
          <w:sz w:val="18"/>
        </w:rPr>
        <w:t>to vote.</w:t>
      </w:r>
      <w:r>
        <w:rPr>
          <w:spacing w:val="1"/>
          <w:sz w:val="18"/>
        </w:rPr>
        <w:t> </w:t>
      </w:r>
      <w:r>
        <w:rPr>
          <w:sz w:val="18"/>
        </w:rPr>
        <w:t>On March 17, 2022, these proxy materials and</w:t>
      </w:r>
      <w:r>
        <w:rPr>
          <w:spacing w:val="1"/>
          <w:sz w:val="18"/>
        </w:rPr>
        <w:t> </w:t>
      </w:r>
      <w:r>
        <w:rPr>
          <w:sz w:val="18"/>
        </w:rPr>
        <w:t>our annual report are being mailed or made available to</w:t>
      </w:r>
      <w:r>
        <w:rPr>
          <w:spacing w:val="-47"/>
          <w:sz w:val="18"/>
        </w:rPr>
        <w:t> </w:t>
      </w:r>
      <w:r>
        <w:rPr>
          <w:sz w:val="18"/>
        </w:rPr>
        <w:t>stockholders.</w:t>
      </w:r>
    </w:p>
    <w:p>
      <w:pPr>
        <w:pStyle w:val="Heading4"/>
        <w:spacing w:before="99"/>
      </w:pPr>
      <w:r>
        <w:rPr>
          <w:b w:val="0"/>
        </w:rPr>
        <w:br w:type="column"/>
      </w:r>
      <w:r>
        <w:rPr>
          <w:rFonts w:ascii="Wingdings" w:hAnsi="Wingdings"/>
          <w:b w:val="0"/>
          <w:color w:val="F08A1F"/>
          <w:w w:val="95"/>
          <w:sz w:val="32"/>
        </w:rPr>
        <w:t></w:t>
      </w:r>
      <w:r>
        <w:rPr>
          <w:rFonts w:ascii="Times New Roman" w:hAnsi="Times New Roman"/>
          <w:b w:val="0"/>
          <w:color w:val="F08A1F"/>
          <w:spacing w:val="-21"/>
          <w:w w:val="95"/>
          <w:sz w:val="32"/>
        </w:rPr>
        <w:t> </w:t>
      </w:r>
      <w:r>
        <w:rPr>
          <w:color w:val="00539E"/>
          <w:w w:val="95"/>
        </w:rPr>
        <w:t>ITEMS</w:t>
      </w:r>
      <w:r>
        <w:rPr>
          <w:color w:val="00539E"/>
          <w:spacing w:val="2"/>
          <w:w w:val="95"/>
        </w:rPr>
        <w:t> </w:t>
      </w:r>
      <w:r>
        <w:rPr>
          <w:color w:val="00539E"/>
          <w:w w:val="95"/>
        </w:rPr>
        <w:t>OF</w:t>
      </w:r>
      <w:r>
        <w:rPr>
          <w:color w:val="00539E"/>
          <w:spacing w:val="2"/>
          <w:w w:val="95"/>
        </w:rPr>
        <w:t> </w:t>
      </w:r>
      <w:r>
        <w:rPr>
          <w:color w:val="00539E"/>
          <w:w w:val="95"/>
        </w:rPr>
        <w:t>BUSINESS</w:t>
      </w:r>
    </w:p>
    <w:p>
      <w:pPr>
        <w:pStyle w:val="ListParagraph"/>
        <w:numPr>
          <w:ilvl w:val="0"/>
          <w:numId w:val="3"/>
        </w:numPr>
        <w:tabs>
          <w:tab w:pos="609" w:val="left" w:leader="none"/>
          <w:tab w:pos="610" w:val="left" w:leader="none"/>
        </w:tabs>
        <w:spacing w:line="256" w:lineRule="auto" w:before="110" w:after="0"/>
        <w:ind w:left="610" w:right="296" w:hanging="36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31200" from="333pt,52.365475pt" to="585.07001pt,52.365475pt" stroked="true" strokeweight=".5pt" strokecolor="#00539e">
            <v:stroke dashstyle="solid"/>
            <w10:wrap type="none"/>
          </v:line>
        </w:pict>
      </w:r>
      <w:r>
        <w:rPr>
          <w:sz w:val="18"/>
        </w:rPr>
        <w:t>Elect 10 Directors to serve until the 2023 Annual</w:t>
      </w:r>
      <w:r>
        <w:rPr>
          <w:spacing w:val="1"/>
          <w:sz w:val="18"/>
        </w:rPr>
        <w:t> </w:t>
      </w:r>
      <w:r>
        <w:rPr>
          <w:sz w:val="18"/>
        </w:rPr>
        <w:t>Meeting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until</w:t>
      </w:r>
      <w:r>
        <w:rPr>
          <w:spacing w:val="-2"/>
          <w:sz w:val="18"/>
        </w:rPr>
        <w:t> </w:t>
      </w:r>
      <w:r>
        <w:rPr>
          <w:sz w:val="18"/>
        </w:rPr>
        <w:t>his</w:t>
      </w:r>
      <w:r>
        <w:rPr>
          <w:spacing w:val="-3"/>
          <w:sz w:val="18"/>
        </w:rPr>
        <w:t> </w:t>
      </w:r>
      <w:r>
        <w:rPr>
          <w:sz w:val="18"/>
        </w:rPr>
        <w:t>or</w:t>
      </w:r>
      <w:r>
        <w:rPr>
          <w:spacing w:val="-3"/>
          <w:sz w:val="18"/>
        </w:rPr>
        <w:t> </w:t>
      </w:r>
      <w:r>
        <w:rPr>
          <w:sz w:val="18"/>
        </w:rPr>
        <w:t>her</w:t>
      </w:r>
      <w:r>
        <w:rPr>
          <w:spacing w:val="-2"/>
          <w:sz w:val="18"/>
        </w:rPr>
        <w:t> </w:t>
      </w:r>
      <w:r>
        <w:rPr>
          <w:sz w:val="18"/>
        </w:rPr>
        <w:t>successor</w:t>
      </w:r>
      <w:r>
        <w:rPr>
          <w:spacing w:val="-3"/>
          <w:sz w:val="18"/>
        </w:rPr>
        <w:t> </w:t>
      </w:r>
      <w:r>
        <w:rPr>
          <w:sz w:val="18"/>
        </w:rPr>
        <w:t>is</w:t>
      </w:r>
      <w:r>
        <w:rPr>
          <w:spacing w:val="-2"/>
          <w:sz w:val="18"/>
        </w:rPr>
        <w:t> </w:t>
      </w:r>
      <w:r>
        <w:rPr>
          <w:sz w:val="18"/>
        </w:rPr>
        <w:t>duly</w:t>
      </w:r>
      <w:r>
        <w:rPr>
          <w:spacing w:val="-3"/>
          <w:sz w:val="18"/>
        </w:rPr>
        <w:t> </w:t>
      </w:r>
      <w:r>
        <w:rPr>
          <w:sz w:val="18"/>
        </w:rPr>
        <w:t>elected</w:t>
      </w:r>
      <w:r>
        <w:rPr>
          <w:spacing w:val="-47"/>
          <w:sz w:val="18"/>
        </w:rPr>
        <w:t> </w:t>
      </w:r>
      <w:r>
        <w:rPr>
          <w:sz w:val="18"/>
        </w:rPr>
        <w:t>and</w:t>
      </w:r>
      <w:r>
        <w:rPr>
          <w:spacing w:val="-1"/>
          <w:sz w:val="18"/>
        </w:rPr>
        <w:t> </w:t>
      </w:r>
      <w:r>
        <w:rPr>
          <w:sz w:val="18"/>
        </w:rPr>
        <w:t>qualified.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610" w:val="left" w:leader="none"/>
        </w:tabs>
        <w:spacing w:line="256" w:lineRule="auto" w:before="170" w:after="0"/>
        <w:ind w:left="610" w:right="325" w:hanging="360"/>
        <w:jc w:val="both"/>
        <w:rPr>
          <w:sz w:val="18"/>
        </w:rPr>
      </w:pPr>
      <w:r>
        <w:rPr/>
        <w:pict>
          <v:line style="position:absolute;mso-position-horizontal-relative:page;mso-position-vertical-relative:paragraph;z-index:15731712" from="333pt,55.365421pt" to="585.07001pt,55.365421pt" stroked="true" strokeweight=".5pt" strokecolor="#00539e">
            <v:stroke dashstyle="solid"/>
            <w10:wrap type="none"/>
          </v:line>
        </w:pict>
      </w:r>
      <w:r>
        <w:rPr>
          <w:sz w:val="18"/>
        </w:rPr>
        <w:t>Ratify the appointment of Ernst &amp; Young, LLP as our</w:t>
      </w:r>
      <w:r>
        <w:rPr>
          <w:spacing w:val="-47"/>
          <w:sz w:val="18"/>
        </w:rPr>
        <w:t> </w:t>
      </w:r>
      <w:r>
        <w:rPr>
          <w:sz w:val="18"/>
        </w:rPr>
        <w:t>independent registered public accounting firm for the</w:t>
      </w:r>
      <w:r>
        <w:rPr>
          <w:spacing w:val="-48"/>
          <w:sz w:val="18"/>
        </w:rPr>
        <w:t> </w:t>
      </w:r>
      <w:r>
        <w:rPr>
          <w:sz w:val="18"/>
        </w:rPr>
        <w:t>fiscal</w:t>
      </w:r>
      <w:r>
        <w:rPr>
          <w:spacing w:val="-1"/>
          <w:sz w:val="18"/>
        </w:rPr>
        <w:t> </w:t>
      </w:r>
      <w:r>
        <w:rPr>
          <w:sz w:val="18"/>
        </w:rPr>
        <w:t>year</w:t>
      </w:r>
      <w:r>
        <w:rPr>
          <w:spacing w:val="-1"/>
          <w:sz w:val="18"/>
        </w:rPr>
        <w:t> </w:t>
      </w:r>
      <w:r>
        <w:rPr>
          <w:sz w:val="18"/>
        </w:rPr>
        <w:t>ending</w:t>
      </w:r>
      <w:r>
        <w:rPr>
          <w:spacing w:val="-1"/>
          <w:sz w:val="18"/>
        </w:rPr>
        <w:t> </w:t>
      </w:r>
      <w:r>
        <w:rPr>
          <w:sz w:val="18"/>
        </w:rPr>
        <w:t>December 31,</w:t>
      </w:r>
      <w:r>
        <w:rPr>
          <w:spacing w:val="-1"/>
          <w:sz w:val="18"/>
        </w:rPr>
        <w:t> </w:t>
      </w:r>
      <w:r>
        <w:rPr>
          <w:sz w:val="18"/>
        </w:rPr>
        <w:t>2022.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609" w:val="left" w:leader="none"/>
          <w:tab w:pos="610" w:val="left" w:leader="none"/>
        </w:tabs>
        <w:spacing w:line="261" w:lineRule="auto" w:before="169" w:after="0"/>
        <w:ind w:left="610" w:right="696" w:hanging="36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32224" from="333pt,44.515396pt" to="585.07001pt,44.515396pt" stroked="true" strokeweight=".5pt" strokecolor="#00539e">
            <v:stroke dashstyle="solid"/>
            <w10:wrap type="none"/>
          </v:line>
        </w:pict>
      </w:r>
      <w:r>
        <w:rPr>
          <w:sz w:val="18"/>
        </w:rPr>
        <w:t>Conduct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4"/>
          <w:sz w:val="18"/>
        </w:rPr>
        <w:t> </w:t>
      </w:r>
      <w:r>
        <w:rPr>
          <w:sz w:val="18"/>
        </w:rPr>
        <w:t>non-binding</w:t>
      </w:r>
      <w:r>
        <w:rPr>
          <w:spacing w:val="-3"/>
          <w:sz w:val="18"/>
        </w:rPr>
        <w:t> </w:t>
      </w:r>
      <w:r>
        <w:rPr>
          <w:sz w:val="18"/>
        </w:rPr>
        <w:t>advisory</w:t>
      </w:r>
      <w:r>
        <w:rPr>
          <w:spacing w:val="-4"/>
          <w:sz w:val="18"/>
        </w:rPr>
        <w:t> </w:t>
      </w:r>
      <w:r>
        <w:rPr>
          <w:sz w:val="18"/>
        </w:rPr>
        <w:t>vote</w:t>
      </w:r>
      <w:r>
        <w:rPr>
          <w:spacing w:val="-3"/>
          <w:sz w:val="18"/>
        </w:rPr>
        <w:t> </w:t>
      </w:r>
      <w:r>
        <w:rPr>
          <w:sz w:val="18"/>
        </w:rPr>
        <w:t>to</w:t>
      </w:r>
      <w:r>
        <w:rPr>
          <w:spacing w:val="-4"/>
          <w:sz w:val="18"/>
        </w:rPr>
        <w:t> </w:t>
      </w:r>
      <w:r>
        <w:rPr>
          <w:sz w:val="18"/>
        </w:rPr>
        <w:t>approve</w:t>
      </w:r>
      <w:r>
        <w:rPr>
          <w:spacing w:val="-47"/>
          <w:sz w:val="18"/>
        </w:rPr>
        <w:t> </w:t>
      </w:r>
      <w:r>
        <w:rPr>
          <w:sz w:val="18"/>
        </w:rPr>
        <w:t>executive</w:t>
      </w:r>
      <w:r>
        <w:rPr>
          <w:spacing w:val="-1"/>
          <w:sz w:val="18"/>
        </w:rPr>
        <w:t> </w:t>
      </w:r>
      <w:r>
        <w:rPr>
          <w:sz w:val="18"/>
        </w:rPr>
        <w:t>compensation.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609" w:val="left" w:leader="none"/>
          <w:tab w:pos="610" w:val="left" w:leader="none"/>
        </w:tabs>
        <w:spacing w:line="256" w:lineRule="auto" w:before="166" w:after="0"/>
        <w:ind w:left="610" w:right="385" w:hanging="360"/>
        <w:jc w:val="left"/>
        <w:rPr>
          <w:sz w:val="18"/>
        </w:rPr>
      </w:pPr>
      <w:r>
        <w:rPr/>
        <w:pict>
          <v:line style="position:absolute;mso-position-horizontal-relative:page;mso-position-vertical-relative:paragraph;z-index:15732736" from="333pt,55.165421pt" to="585.07001pt,55.165421pt" stroked="true" strokeweight=".5pt" strokecolor="#00539e">
            <v:stroke dashstyle="solid"/>
            <w10:wrap type="none"/>
          </v:line>
        </w:pict>
      </w:r>
      <w:r>
        <w:rPr>
          <w:sz w:val="18"/>
        </w:rPr>
        <w:t>To transact any other business properly brought</w:t>
      </w:r>
      <w:r>
        <w:rPr>
          <w:spacing w:val="1"/>
          <w:sz w:val="18"/>
        </w:rPr>
        <w:t> </w:t>
      </w:r>
      <w:r>
        <w:rPr>
          <w:spacing w:val="-1"/>
          <w:sz w:val="18"/>
        </w:rPr>
        <w:t>before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12"/>
          <w:sz w:val="18"/>
        </w:rPr>
        <w:t> </w:t>
      </w:r>
      <w:r>
        <w:rPr>
          <w:sz w:val="18"/>
        </w:rPr>
        <w:t>Annual</w:t>
      </w:r>
      <w:r>
        <w:rPr>
          <w:spacing w:val="-3"/>
          <w:sz w:val="18"/>
        </w:rPr>
        <w:t> </w:t>
      </w:r>
      <w:r>
        <w:rPr>
          <w:sz w:val="18"/>
        </w:rPr>
        <w:t>Meeting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at</w:t>
      </w:r>
      <w:r>
        <w:rPr>
          <w:spacing w:val="-2"/>
          <w:sz w:val="18"/>
        </w:rPr>
        <w:t> </w:t>
      </w:r>
      <w:r>
        <w:rPr>
          <w:sz w:val="18"/>
        </w:rPr>
        <w:t>any</w:t>
      </w:r>
      <w:r>
        <w:rPr>
          <w:spacing w:val="-3"/>
          <w:sz w:val="18"/>
        </w:rPr>
        <w:t> </w:t>
      </w:r>
      <w:r>
        <w:rPr>
          <w:sz w:val="18"/>
        </w:rPr>
        <w:t>adjournments</w:t>
      </w:r>
      <w:r>
        <w:rPr>
          <w:spacing w:val="-47"/>
          <w:sz w:val="18"/>
        </w:rPr>
        <w:t> </w:t>
      </w:r>
      <w:r>
        <w:rPr>
          <w:sz w:val="18"/>
        </w:rPr>
        <w:t>or</w:t>
      </w:r>
      <w:r>
        <w:rPr>
          <w:spacing w:val="-1"/>
          <w:sz w:val="18"/>
        </w:rPr>
        <w:t> </w:t>
      </w:r>
      <w:r>
        <w:rPr>
          <w:sz w:val="18"/>
        </w:rPr>
        <w:t>postponements thereof.</w:t>
      </w:r>
    </w:p>
    <w:p>
      <w:pPr>
        <w:spacing w:after="0" w:line="256" w:lineRule="auto"/>
        <w:jc w:val="left"/>
        <w:rPr>
          <w:sz w:val="18"/>
        </w:rPr>
        <w:sectPr>
          <w:type w:val="continuous"/>
          <w:pgSz w:w="12240" w:h="15840"/>
          <w:pgMar w:top="860" w:bottom="280" w:left="740" w:right="700"/>
          <w:cols w:num="2" w:equalWidth="0">
            <w:col w:w="4753" w:space="917"/>
            <w:col w:w="5130"/>
          </w:cols>
        </w:sectPr>
      </w:pPr>
    </w:p>
    <w:p>
      <w:pPr>
        <w:pStyle w:val="BodyText"/>
      </w:pPr>
    </w:p>
    <w:p>
      <w:pPr>
        <w:pStyle w:val="BodyText"/>
        <w:spacing w:before="3"/>
        <w:rPr>
          <w:sz w:val="18"/>
        </w:rPr>
      </w:pPr>
    </w:p>
    <w:p>
      <w:pPr>
        <w:pStyle w:val="Heading5"/>
      </w:pPr>
      <w:r>
        <w:rPr>
          <w:color w:val="00539E"/>
        </w:rPr>
        <w:t>Every</w:t>
      </w:r>
      <w:r>
        <w:rPr>
          <w:color w:val="00539E"/>
          <w:spacing w:val="-5"/>
        </w:rPr>
        <w:t> </w:t>
      </w:r>
      <w:r>
        <w:rPr>
          <w:color w:val="00539E"/>
        </w:rPr>
        <w:t>Vote</w:t>
      </w:r>
      <w:r>
        <w:rPr>
          <w:color w:val="00539E"/>
          <w:spacing w:val="-5"/>
        </w:rPr>
        <w:t> </w:t>
      </w:r>
      <w:r>
        <w:rPr>
          <w:color w:val="00539E"/>
        </w:rPr>
        <w:t>is</w:t>
      </w:r>
      <w:r>
        <w:rPr>
          <w:color w:val="00539E"/>
          <w:spacing w:val="-5"/>
        </w:rPr>
        <w:t> </w:t>
      </w:r>
      <w:r>
        <w:rPr>
          <w:color w:val="00539E"/>
        </w:rPr>
        <w:t>Important</w:t>
      </w:r>
      <w:r>
        <w:rPr>
          <w:color w:val="00539E"/>
          <w:spacing w:val="-5"/>
        </w:rPr>
        <w:t> </w:t>
      </w:r>
      <w:r>
        <w:rPr>
          <w:color w:val="00539E"/>
        </w:rPr>
        <w:t>to</w:t>
      </w:r>
      <w:r>
        <w:rPr>
          <w:color w:val="00539E"/>
          <w:spacing w:val="-5"/>
        </w:rPr>
        <w:t> </w:t>
      </w:r>
      <w:r>
        <w:rPr>
          <w:color w:val="00539E"/>
        </w:rPr>
        <w:t>Equity</w:t>
      </w:r>
      <w:r>
        <w:rPr>
          <w:color w:val="00539E"/>
          <w:spacing w:val="-5"/>
        </w:rPr>
        <w:t> </w:t>
      </w:r>
      <w:r>
        <w:rPr>
          <w:color w:val="00539E"/>
        </w:rPr>
        <w:t>LifeStyle</w:t>
      </w:r>
      <w:r>
        <w:rPr>
          <w:color w:val="00539E"/>
          <w:spacing w:val="-5"/>
        </w:rPr>
        <w:t> </w:t>
      </w:r>
      <w:r>
        <w:rPr>
          <w:color w:val="00539E"/>
        </w:rPr>
        <w:t>Properties</w:t>
      </w:r>
    </w:p>
    <w:p>
      <w:pPr>
        <w:spacing w:line="244" w:lineRule="auto" w:before="8"/>
        <w:ind w:left="250" w:right="282" w:firstLine="0"/>
        <w:jc w:val="left"/>
        <w:rPr>
          <w:sz w:val="18"/>
        </w:rPr>
      </w:pPr>
      <w:r>
        <w:rPr>
          <w:sz w:val="18"/>
        </w:rPr>
        <w:t>Your vote</w:t>
      </w:r>
      <w:r>
        <w:rPr>
          <w:spacing w:val="1"/>
          <w:sz w:val="18"/>
        </w:rPr>
        <w:t> </w:t>
      </w:r>
      <w:r>
        <w:rPr>
          <w:sz w:val="18"/>
        </w:rPr>
        <w:t>is important</w:t>
      </w:r>
      <w:r>
        <w:rPr>
          <w:spacing w:val="1"/>
          <w:sz w:val="18"/>
        </w:rPr>
        <w:t> </w:t>
      </w:r>
      <w:r>
        <w:rPr>
          <w:sz w:val="18"/>
        </w:rPr>
        <w:t>to us.</w:t>
      </w:r>
      <w:r>
        <w:rPr>
          <w:spacing w:val="49"/>
          <w:sz w:val="18"/>
        </w:rPr>
        <w:t> </w:t>
      </w:r>
      <w:r>
        <w:rPr>
          <w:sz w:val="18"/>
        </w:rPr>
        <w:t>Whether</w:t>
      </w:r>
      <w:r>
        <w:rPr>
          <w:spacing w:val="1"/>
          <w:sz w:val="18"/>
        </w:rPr>
        <w:t> </w:t>
      </w:r>
      <w:r>
        <w:rPr>
          <w:sz w:val="18"/>
        </w:rPr>
        <w:t>or not</w:t>
      </w:r>
      <w:r>
        <w:rPr>
          <w:spacing w:val="1"/>
          <w:sz w:val="18"/>
        </w:rPr>
        <w:t> </w:t>
      </w:r>
      <w:r>
        <w:rPr>
          <w:sz w:val="18"/>
        </w:rPr>
        <w:t>you plan</w:t>
      </w:r>
      <w:r>
        <w:rPr>
          <w:spacing w:val="1"/>
          <w:sz w:val="18"/>
        </w:rPr>
        <w:t> </w:t>
      </w:r>
      <w:r>
        <w:rPr>
          <w:sz w:val="18"/>
        </w:rPr>
        <w:t>to attend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-9"/>
          <w:sz w:val="18"/>
        </w:rPr>
        <w:t> </w:t>
      </w:r>
      <w:r>
        <w:rPr>
          <w:sz w:val="18"/>
        </w:rPr>
        <w:t>Annual</w:t>
      </w:r>
      <w:r>
        <w:rPr>
          <w:spacing w:val="1"/>
          <w:sz w:val="18"/>
        </w:rPr>
        <w:t> </w:t>
      </w:r>
      <w:r>
        <w:rPr>
          <w:sz w:val="18"/>
        </w:rPr>
        <w:t>Meeting, we</w:t>
      </w:r>
      <w:r>
        <w:rPr>
          <w:spacing w:val="1"/>
          <w:sz w:val="18"/>
        </w:rPr>
        <w:t> </w:t>
      </w:r>
      <w:r>
        <w:rPr>
          <w:sz w:val="18"/>
        </w:rPr>
        <w:t>urge you</w:t>
      </w:r>
      <w:r>
        <w:rPr>
          <w:spacing w:val="1"/>
          <w:sz w:val="18"/>
        </w:rPr>
        <w:t> </w:t>
      </w:r>
      <w:r>
        <w:rPr>
          <w:sz w:val="18"/>
        </w:rPr>
        <w:t>to authorize</w:t>
      </w:r>
      <w:r>
        <w:rPr>
          <w:spacing w:val="1"/>
          <w:sz w:val="18"/>
        </w:rPr>
        <w:t> </w:t>
      </w:r>
      <w:r>
        <w:rPr>
          <w:sz w:val="18"/>
        </w:rPr>
        <w:t>a proxy</w:t>
      </w:r>
      <w:r>
        <w:rPr>
          <w:spacing w:val="1"/>
          <w:sz w:val="18"/>
        </w:rPr>
        <w:t> </w:t>
      </w:r>
      <w:r>
        <w:rPr>
          <w:sz w:val="18"/>
        </w:rPr>
        <w:t>to</w:t>
      </w:r>
      <w:r>
        <w:rPr>
          <w:spacing w:val="1"/>
          <w:sz w:val="18"/>
        </w:rPr>
        <w:t> </w:t>
      </w:r>
      <w:r>
        <w:rPr>
          <w:sz w:val="18"/>
        </w:rPr>
        <w:t>vote</w:t>
      </w:r>
      <w:r>
        <w:rPr>
          <w:spacing w:val="1"/>
          <w:sz w:val="18"/>
        </w:rPr>
        <w:t> </w:t>
      </w:r>
      <w:r>
        <w:rPr>
          <w:sz w:val="18"/>
        </w:rPr>
        <w:t>your shares as soon as possible.</w:t>
      </w:r>
      <w:r>
        <w:rPr>
          <w:spacing w:val="1"/>
          <w:sz w:val="18"/>
        </w:rPr>
        <w:t> </w:t>
      </w:r>
      <w:r>
        <w:rPr>
          <w:sz w:val="18"/>
        </w:rPr>
        <w:t>Instructions on how to authorize a proxy are contained in this Proxy Statement.</w:t>
      </w:r>
      <w:r>
        <w:rPr>
          <w:spacing w:val="1"/>
          <w:sz w:val="18"/>
        </w:rPr>
        <w:t> </w:t>
      </w:r>
      <w:r>
        <w:rPr>
          <w:sz w:val="18"/>
        </w:rPr>
        <w:t>Only</w:t>
      </w:r>
      <w:r>
        <w:rPr>
          <w:spacing w:val="1"/>
          <w:sz w:val="18"/>
        </w:rPr>
        <w:t> </w:t>
      </w:r>
      <w:r>
        <w:rPr>
          <w:sz w:val="18"/>
        </w:rPr>
        <w:t>stockholders of</w:t>
      </w:r>
      <w:r>
        <w:rPr>
          <w:spacing w:val="1"/>
          <w:sz w:val="18"/>
        </w:rPr>
        <w:t> </w:t>
      </w:r>
      <w:r>
        <w:rPr>
          <w:sz w:val="18"/>
        </w:rPr>
        <w:t>record at</w:t>
      </w:r>
      <w:r>
        <w:rPr>
          <w:spacing w:val="1"/>
          <w:sz w:val="18"/>
        </w:rPr>
        <w:t> </w:t>
      </w:r>
      <w:r>
        <w:rPr>
          <w:sz w:val="18"/>
        </w:rPr>
        <w:t>the close</w:t>
      </w:r>
      <w:r>
        <w:rPr>
          <w:spacing w:val="1"/>
          <w:sz w:val="18"/>
        </w:rPr>
        <w:t> </w:t>
      </w:r>
      <w:r>
        <w:rPr>
          <w:sz w:val="18"/>
        </w:rPr>
        <w:t>of business</w:t>
      </w:r>
      <w:r>
        <w:rPr>
          <w:spacing w:val="1"/>
          <w:sz w:val="18"/>
        </w:rPr>
        <w:t> </w:t>
      </w:r>
      <w:r>
        <w:rPr>
          <w:sz w:val="18"/>
        </w:rPr>
        <w:t>on the</w:t>
      </w:r>
      <w:r>
        <w:rPr>
          <w:spacing w:val="1"/>
          <w:sz w:val="18"/>
        </w:rPr>
        <w:t> </w:t>
      </w:r>
      <w:r>
        <w:rPr>
          <w:sz w:val="18"/>
        </w:rPr>
        <w:t>Record Date</w:t>
      </w:r>
      <w:r>
        <w:rPr>
          <w:spacing w:val="1"/>
          <w:sz w:val="18"/>
        </w:rPr>
        <w:t> </w:t>
      </w:r>
      <w:r>
        <w:rPr>
          <w:sz w:val="18"/>
        </w:rPr>
        <w:t>will be</w:t>
      </w:r>
      <w:r>
        <w:rPr>
          <w:spacing w:val="1"/>
          <w:sz w:val="18"/>
        </w:rPr>
        <w:t> </w:t>
      </w:r>
      <w:r>
        <w:rPr>
          <w:sz w:val="18"/>
        </w:rPr>
        <w:t>entitled to</w:t>
      </w:r>
      <w:r>
        <w:rPr>
          <w:spacing w:val="1"/>
          <w:sz w:val="18"/>
        </w:rPr>
        <w:t> </w:t>
      </w:r>
      <w:r>
        <w:rPr>
          <w:sz w:val="18"/>
        </w:rPr>
        <w:t>notice of,</w:t>
      </w:r>
      <w:r>
        <w:rPr>
          <w:spacing w:val="1"/>
          <w:sz w:val="18"/>
        </w:rPr>
        <w:t> </w:t>
      </w:r>
      <w:r>
        <w:rPr>
          <w:sz w:val="18"/>
        </w:rPr>
        <w:t>and to</w:t>
      </w:r>
      <w:r>
        <w:rPr>
          <w:spacing w:val="1"/>
          <w:sz w:val="18"/>
        </w:rPr>
        <w:t> </w:t>
      </w:r>
      <w:r>
        <w:rPr>
          <w:sz w:val="18"/>
        </w:rPr>
        <w:t>vote at,</w:t>
      </w:r>
      <w:r>
        <w:rPr>
          <w:spacing w:val="1"/>
          <w:sz w:val="18"/>
        </w:rPr>
        <w:t> </w:t>
      </w:r>
      <w:r>
        <w:rPr>
          <w:sz w:val="18"/>
        </w:rPr>
        <w:t>the</w:t>
      </w:r>
      <w:r>
        <w:rPr>
          <w:spacing w:val="-10"/>
          <w:sz w:val="18"/>
        </w:rPr>
        <w:t> </w:t>
      </w:r>
      <w:r>
        <w:rPr>
          <w:sz w:val="18"/>
        </w:rPr>
        <w:t>Annual</w:t>
      </w:r>
      <w:r>
        <w:rPr>
          <w:spacing w:val="1"/>
          <w:sz w:val="18"/>
        </w:rPr>
        <w:t> </w:t>
      </w:r>
      <w:r>
        <w:rPr>
          <w:sz w:val="18"/>
        </w:rPr>
        <w:t>Meeting, and at any adjournments or postponements thereof. If you attend the virtual Annual Meeting, you may vote personally if</w:t>
      </w:r>
      <w:r>
        <w:rPr>
          <w:spacing w:val="-47"/>
          <w:sz w:val="18"/>
        </w:rPr>
        <w:t> </w:t>
      </w:r>
      <w:r>
        <w:rPr>
          <w:sz w:val="18"/>
        </w:rPr>
        <w:t>you wish, even if you have previously authorized a proxy to vote your shares.</w:t>
      </w:r>
      <w:r>
        <w:rPr>
          <w:spacing w:val="1"/>
          <w:sz w:val="18"/>
        </w:rPr>
        <w:t> </w:t>
      </w:r>
      <w:r>
        <w:rPr>
          <w:sz w:val="18"/>
        </w:rPr>
        <w:t>Please note, however, that if your shares of</w:t>
      </w:r>
      <w:r>
        <w:rPr>
          <w:spacing w:val="1"/>
          <w:sz w:val="18"/>
        </w:rPr>
        <w:t> </w:t>
      </w:r>
      <w:r>
        <w:rPr>
          <w:sz w:val="18"/>
        </w:rPr>
        <w:t>Common Stock are held of record by a broker, bank or other nominee and you wish to vote in person at the Annual Meeting, you</w:t>
      </w:r>
      <w:r>
        <w:rPr>
          <w:spacing w:val="1"/>
          <w:sz w:val="18"/>
        </w:rPr>
        <w:t> </w:t>
      </w:r>
      <w:r>
        <w:rPr>
          <w:sz w:val="18"/>
        </w:rPr>
        <w:t>must</w:t>
      </w:r>
      <w:r>
        <w:rPr>
          <w:spacing w:val="-1"/>
          <w:sz w:val="18"/>
        </w:rPr>
        <w:t> </w:t>
      </w:r>
      <w:r>
        <w:rPr>
          <w:sz w:val="18"/>
        </w:rPr>
        <w:t>obtain a</w:t>
      </w:r>
      <w:r>
        <w:rPr>
          <w:spacing w:val="-1"/>
          <w:sz w:val="18"/>
        </w:rPr>
        <w:t> </w:t>
      </w:r>
      <w:r>
        <w:rPr>
          <w:sz w:val="18"/>
        </w:rPr>
        <w:t>proxy issued</w:t>
      </w:r>
      <w:r>
        <w:rPr>
          <w:spacing w:val="-1"/>
          <w:sz w:val="18"/>
        </w:rPr>
        <w:t> </w:t>
      </w:r>
      <w:r>
        <w:rPr>
          <w:sz w:val="18"/>
        </w:rPr>
        <w:t>in your</w:t>
      </w:r>
      <w:r>
        <w:rPr>
          <w:spacing w:val="-1"/>
          <w:sz w:val="18"/>
        </w:rPr>
        <w:t> </w:t>
      </w:r>
      <w:r>
        <w:rPr>
          <w:sz w:val="18"/>
        </w:rPr>
        <w:t>name from</w:t>
      </w:r>
      <w:r>
        <w:rPr>
          <w:spacing w:val="-1"/>
          <w:sz w:val="18"/>
        </w:rPr>
        <w:t> </w:t>
      </w:r>
      <w:r>
        <w:rPr>
          <w:sz w:val="18"/>
        </w:rPr>
        <w:t>such broker,</w:t>
      </w:r>
      <w:r>
        <w:rPr>
          <w:spacing w:val="-1"/>
          <w:sz w:val="18"/>
        </w:rPr>
        <w:t> </w:t>
      </w:r>
      <w:r>
        <w:rPr>
          <w:sz w:val="18"/>
        </w:rPr>
        <w:t>bank or</w:t>
      </w:r>
      <w:r>
        <w:rPr>
          <w:spacing w:val="-1"/>
          <w:sz w:val="18"/>
        </w:rPr>
        <w:t> </w:t>
      </w:r>
      <w:r>
        <w:rPr>
          <w:sz w:val="18"/>
        </w:rPr>
        <w:t>other nominee.</w:t>
      </w:r>
    </w:p>
    <w:p>
      <w:pPr>
        <w:pStyle w:val="BodyText"/>
        <w:spacing w:before="5"/>
        <w:rPr>
          <w:sz w:val="17"/>
        </w:rPr>
      </w:pPr>
    </w:p>
    <w:p>
      <w:pPr>
        <w:tabs>
          <w:tab w:pos="5920" w:val="left" w:leader="none"/>
        </w:tabs>
        <w:spacing w:line="20" w:lineRule="exact"/>
        <w:ind w:left="250" w:right="0" w:firstLine="0"/>
        <w:rPr>
          <w:sz w:val="2"/>
        </w:rPr>
      </w:pPr>
      <w:r>
        <w:rPr>
          <w:sz w:val="2"/>
        </w:rPr>
        <w:pict>
          <v:group style="width:229.5pt;height:.5pt;mso-position-horizontal-relative:char;mso-position-vertical-relative:line" id="docshapegroup1" coordorigin="0,0" coordsize="4590,10">
            <v:line style="position:absolute" from="0,5" to="4590,5" stroked="true" strokeweight=".5pt" strokecolor="#00539e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229.5pt;height:.5pt;mso-position-horizontal-relative:char;mso-position-vertical-relative:line" id="docshapegroup2" coordorigin="0,0" coordsize="4590,10">
            <v:line style="position:absolute" from="0,5" to="4590,5" stroked="true" strokeweight=".5pt" strokecolor="#00539e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top="860" w:bottom="280" w:left="740" w:right="700"/>
        </w:sectPr>
      </w:pPr>
    </w:p>
    <w:p>
      <w:pPr>
        <w:pStyle w:val="Heading5"/>
        <w:spacing w:before="1"/>
      </w:pPr>
      <w:r>
        <w:rPr>
          <w:rFonts w:ascii="Wingdings" w:hAnsi="Wingdings"/>
          <w:b w:val="0"/>
          <w:color w:val="F08A1F"/>
          <w:sz w:val="36"/>
        </w:rPr>
        <w:t></w:t>
      </w:r>
      <w:r>
        <w:rPr>
          <w:rFonts w:ascii="Times New Roman" w:hAnsi="Times New Roman"/>
          <w:b w:val="0"/>
          <w:color w:val="F08A1F"/>
          <w:spacing w:val="40"/>
          <w:sz w:val="36"/>
        </w:rPr>
        <w:t> </w:t>
      </w:r>
      <w:r>
        <w:rPr>
          <w:color w:val="00539E"/>
        </w:rPr>
        <w:t>Vote</w:t>
      </w:r>
      <w:r>
        <w:rPr>
          <w:color w:val="00539E"/>
          <w:spacing w:val="4"/>
        </w:rPr>
        <w:t> </w:t>
      </w:r>
      <w:r>
        <w:rPr>
          <w:color w:val="00539E"/>
        </w:rPr>
        <w:t>by</w:t>
      </w:r>
      <w:r>
        <w:rPr>
          <w:color w:val="00539E"/>
          <w:spacing w:val="4"/>
        </w:rPr>
        <w:t> </w:t>
      </w:r>
      <w:r>
        <w:rPr>
          <w:color w:val="00539E"/>
        </w:rPr>
        <w:t>Mail</w:t>
      </w:r>
    </w:p>
    <w:p>
      <w:pPr>
        <w:spacing w:line="244" w:lineRule="auto" w:before="30"/>
        <w:ind w:left="250" w:right="20" w:firstLine="0"/>
        <w:jc w:val="left"/>
        <w:rPr>
          <w:sz w:val="18"/>
        </w:rPr>
      </w:pPr>
      <w:r>
        <w:rPr>
          <w:sz w:val="18"/>
        </w:rPr>
        <w:t>If you received a paper copy of the proxy form by mail,</w:t>
      </w:r>
      <w:r>
        <w:rPr>
          <w:spacing w:val="1"/>
          <w:sz w:val="18"/>
        </w:rPr>
        <w:t> </w:t>
      </w:r>
      <w:r>
        <w:rPr>
          <w:sz w:val="18"/>
        </w:rPr>
        <w:t>you can mark, sign, date and return the proxy form in the</w:t>
      </w:r>
      <w:r>
        <w:rPr>
          <w:spacing w:val="-48"/>
          <w:sz w:val="18"/>
        </w:rPr>
        <w:t> </w:t>
      </w:r>
      <w:r>
        <w:rPr>
          <w:sz w:val="18"/>
        </w:rPr>
        <w:t>enclosed,</w:t>
      </w:r>
      <w:r>
        <w:rPr>
          <w:spacing w:val="-1"/>
          <w:sz w:val="18"/>
        </w:rPr>
        <w:t> </w:t>
      </w:r>
      <w:r>
        <w:rPr>
          <w:sz w:val="18"/>
        </w:rPr>
        <w:t>postage-paid</w:t>
      </w:r>
      <w:r>
        <w:rPr>
          <w:spacing w:val="-1"/>
          <w:sz w:val="18"/>
        </w:rPr>
        <w:t> </w:t>
      </w:r>
      <w:r>
        <w:rPr>
          <w:sz w:val="18"/>
        </w:rPr>
        <w:t>envelope.</w:t>
      </w:r>
    </w:p>
    <w:p>
      <w:pPr>
        <w:pStyle w:val="Heading5"/>
        <w:spacing w:before="6"/>
      </w:pPr>
      <w:r>
        <w:rPr>
          <w:b w:val="0"/>
        </w:rPr>
        <w:br w:type="column"/>
      </w:r>
      <w:r>
        <w:rPr>
          <w:rFonts w:ascii="Wingdings" w:hAnsi="Wingdings"/>
          <w:b w:val="0"/>
          <w:color w:val="F08A1F"/>
          <w:w w:val="95"/>
          <w:sz w:val="32"/>
        </w:rPr>
        <w:t></w:t>
      </w:r>
      <w:r>
        <w:rPr>
          <w:rFonts w:ascii="Times New Roman" w:hAnsi="Times New Roman"/>
          <w:b w:val="0"/>
          <w:color w:val="F08A1F"/>
          <w:spacing w:val="90"/>
          <w:sz w:val="32"/>
        </w:rPr>
        <w:t> </w:t>
      </w:r>
      <w:r>
        <w:rPr>
          <w:color w:val="00539E"/>
          <w:w w:val="95"/>
        </w:rPr>
        <w:t>Vote</w:t>
      </w:r>
      <w:r>
        <w:rPr>
          <w:color w:val="00539E"/>
          <w:spacing w:val="-6"/>
          <w:w w:val="95"/>
        </w:rPr>
        <w:t> </w:t>
      </w:r>
      <w:r>
        <w:rPr>
          <w:color w:val="00539E"/>
          <w:w w:val="95"/>
        </w:rPr>
        <w:t>by</w:t>
      </w:r>
      <w:r>
        <w:rPr>
          <w:color w:val="00539E"/>
          <w:spacing w:val="-7"/>
          <w:w w:val="95"/>
        </w:rPr>
        <w:t> </w:t>
      </w:r>
      <w:r>
        <w:rPr>
          <w:color w:val="00539E"/>
          <w:w w:val="95"/>
        </w:rPr>
        <w:t>Internet</w:t>
      </w:r>
      <w:r>
        <w:rPr>
          <w:color w:val="00539E"/>
          <w:spacing w:val="-6"/>
          <w:w w:val="95"/>
        </w:rPr>
        <w:t> </w:t>
      </w:r>
      <w:r>
        <w:rPr>
          <w:color w:val="00539E"/>
          <w:w w:val="95"/>
        </w:rPr>
        <w:t>or</w:t>
      </w:r>
      <w:r>
        <w:rPr>
          <w:color w:val="00539E"/>
          <w:spacing w:val="-6"/>
          <w:w w:val="95"/>
        </w:rPr>
        <w:t> </w:t>
      </w:r>
      <w:r>
        <w:rPr>
          <w:color w:val="00539E"/>
          <w:w w:val="95"/>
        </w:rPr>
        <w:t>Telephone</w:t>
      </w:r>
    </w:p>
    <w:p>
      <w:pPr>
        <w:spacing w:line="244" w:lineRule="auto" w:before="22"/>
        <w:ind w:left="250" w:right="103" w:firstLine="0"/>
        <w:jc w:val="left"/>
        <w:rPr>
          <w:sz w:val="18"/>
        </w:rPr>
      </w:pPr>
      <w:r>
        <w:rPr>
          <w:sz w:val="18"/>
        </w:rPr>
        <w:t>Voting</w:t>
      </w:r>
      <w:r>
        <w:rPr>
          <w:spacing w:val="-5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internet</w:t>
      </w:r>
      <w:r>
        <w:rPr>
          <w:spacing w:val="-4"/>
          <w:sz w:val="18"/>
        </w:rPr>
        <w:t> </w:t>
      </w:r>
      <w:r>
        <w:rPr>
          <w:sz w:val="18"/>
        </w:rPr>
        <w:t>or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telephone</w:t>
      </w:r>
      <w:r>
        <w:rPr>
          <w:spacing w:val="-4"/>
          <w:sz w:val="18"/>
        </w:rPr>
        <w:t> </w:t>
      </w:r>
      <w:r>
        <w:rPr>
          <w:sz w:val="18"/>
        </w:rPr>
        <w:t>is</w:t>
      </w:r>
      <w:r>
        <w:rPr>
          <w:spacing w:val="-4"/>
          <w:sz w:val="18"/>
        </w:rPr>
        <w:t> </w:t>
      </w:r>
      <w:r>
        <w:rPr>
          <w:sz w:val="18"/>
        </w:rPr>
        <w:t>fast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convenient,</w:t>
      </w:r>
      <w:r>
        <w:rPr>
          <w:spacing w:val="-47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your</w:t>
      </w:r>
      <w:r>
        <w:rPr>
          <w:spacing w:val="-2"/>
          <w:sz w:val="18"/>
        </w:rPr>
        <w:t> </w:t>
      </w:r>
      <w:r>
        <w:rPr>
          <w:sz w:val="18"/>
        </w:rPr>
        <w:t>vote</w:t>
      </w:r>
      <w:r>
        <w:rPr>
          <w:spacing w:val="-2"/>
          <w:sz w:val="18"/>
        </w:rPr>
        <w:t> </w:t>
      </w:r>
      <w:r>
        <w:rPr>
          <w:sz w:val="18"/>
        </w:rPr>
        <w:t>is</w:t>
      </w:r>
      <w:r>
        <w:rPr>
          <w:spacing w:val="-2"/>
          <w:sz w:val="18"/>
        </w:rPr>
        <w:t> </w:t>
      </w:r>
      <w:r>
        <w:rPr>
          <w:sz w:val="18"/>
        </w:rPr>
        <w:t>immediately</w:t>
      </w:r>
      <w:r>
        <w:rPr>
          <w:spacing w:val="-3"/>
          <w:sz w:val="18"/>
        </w:rPr>
        <w:t> </w:t>
      </w:r>
      <w:r>
        <w:rPr>
          <w:sz w:val="18"/>
        </w:rPr>
        <w:t>confirmed</w:t>
      </w:r>
      <w:r>
        <w:rPr>
          <w:spacing w:val="-2"/>
          <w:sz w:val="18"/>
        </w:rPr>
        <w:t> </w:t>
      </w:r>
      <w:r>
        <w:rPr>
          <w:sz w:val="18"/>
        </w:rPr>
        <w:t>and</w:t>
      </w:r>
      <w:r>
        <w:rPr>
          <w:spacing w:val="-2"/>
          <w:sz w:val="18"/>
        </w:rPr>
        <w:t> </w:t>
      </w:r>
      <w:r>
        <w:rPr>
          <w:sz w:val="18"/>
        </w:rPr>
        <w:t>tabulated.</w:t>
      </w:r>
    </w:p>
    <w:p>
      <w:pPr>
        <w:tabs>
          <w:tab w:pos="2049" w:val="left" w:leader="none"/>
        </w:tabs>
        <w:spacing w:before="55"/>
        <w:ind w:left="610" w:right="0" w:firstLine="0"/>
        <w:jc w:val="left"/>
        <w:rPr>
          <w:sz w:val="20"/>
        </w:rPr>
      </w:pPr>
      <w:r>
        <w:rPr>
          <w:b/>
          <w:color w:val="00539E"/>
          <w:sz w:val="20"/>
        </w:rPr>
        <w:t>Internet</w:t>
        <w:tab/>
      </w:r>
      <w:hyperlink r:id="rId7">
        <w:r>
          <w:rPr>
            <w:sz w:val="20"/>
          </w:rPr>
          <w:t>www.proxyvote.com</w:t>
        </w:r>
        <w:r>
          <w:rPr>
            <w:spacing w:val="-13"/>
            <w:sz w:val="20"/>
          </w:rPr>
          <w:t> </w:t>
        </w:r>
      </w:hyperlink>
      <w:r>
        <w:rPr>
          <w:sz w:val="20"/>
        </w:rPr>
        <w:t>(24/7)</w:t>
      </w:r>
    </w:p>
    <w:p>
      <w:pPr>
        <w:tabs>
          <w:tab w:pos="3472" w:val="right" w:leader="none"/>
        </w:tabs>
        <w:spacing w:before="4"/>
        <w:ind w:left="610" w:right="0" w:firstLine="0"/>
        <w:jc w:val="left"/>
        <w:rPr>
          <w:sz w:val="20"/>
        </w:rPr>
      </w:pPr>
      <w:r>
        <w:rPr>
          <w:b/>
          <w:color w:val="00539E"/>
          <w:sz w:val="20"/>
        </w:rPr>
        <w:t>Telephone</w:t>
      </w:r>
      <w:r>
        <w:rPr>
          <w:rFonts w:ascii="Times New Roman"/>
          <w:b/>
          <w:color w:val="00539E"/>
          <w:sz w:val="20"/>
        </w:rPr>
        <w:tab/>
      </w:r>
      <w:r>
        <w:rPr>
          <w:sz w:val="20"/>
        </w:rPr>
        <w:t>1-800-690-6903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860" w:bottom="280" w:left="740" w:right="700"/>
          <w:cols w:num="2" w:equalWidth="0">
            <w:col w:w="4813" w:space="857"/>
            <w:col w:w="5130"/>
          </w:cols>
        </w:sectPr>
      </w:pPr>
    </w:p>
    <w:p>
      <w:pPr>
        <w:pStyle w:val="BodyText"/>
        <w:spacing w:before="4"/>
        <w:rPr>
          <w:sz w:val="15"/>
        </w:rPr>
      </w:pPr>
    </w:p>
    <w:p>
      <w:pPr>
        <w:pStyle w:val="BodyText"/>
        <w:spacing w:line="20" w:lineRule="exact"/>
        <w:ind w:left="250"/>
        <w:rPr>
          <w:sz w:val="2"/>
        </w:rPr>
      </w:pPr>
      <w:r>
        <w:rPr>
          <w:sz w:val="2"/>
        </w:rPr>
        <w:pict>
          <v:group style="width:229.5pt;height:.5pt;mso-position-horizontal-relative:char;mso-position-vertical-relative:line" id="docshapegroup3" coordorigin="0,0" coordsize="4590,10">
            <v:line style="position:absolute" from="0,5" to="4590,5" stroked="true" strokeweight=".5pt" strokecolor="#00539e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line="20" w:lineRule="exact"/>
        <w:ind w:left="5920"/>
        <w:rPr>
          <w:sz w:val="2"/>
        </w:rPr>
      </w:pPr>
      <w:r>
        <w:rPr>
          <w:sz w:val="2"/>
        </w:rPr>
        <w:pict>
          <v:group style="width:232.7pt;height:.5pt;mso-position-horizontal-relative:char;mso-position-vertical-relative:line" id="docshapegroup4" coordorigin="0,0" coordsize="4654,10">
            <v:line style="position:absolute" from="0,5" to="4654,5" stroked="true" strokeweight=".5pt" strokecolor="#00539e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spacing w:before="7"/>
        <w:rPr>
          <w:sz w:val="22"/>
        </w:rPr>
      </w:pPr>
    </w:p>
    <w:p>
      <w:pPr>
        <w:spacing w:line="244" w:lineRule="auto" w:before="0"/>
        <w:ind w:left="2812" w:right="2032" w:hanging="795"/>
        <w:jc w:val="left"/>
        <w:rPr>
          <w:b/>
          <w:sz w:val="18"/>
        </w:rPr>
      </w:pPr>
      <w:r>
        <w:rPr>
          <w:b/>
          <w:sz w:val="18"/>
        </w:rPr>
        <w:t>IMPORTANT NOTICE REGARDING THE AVAILABILITY OF PROXY MATERIALS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THE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ANNUAL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MEETING TO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HELD ON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April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26,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2022.</w:t>
      </w:r>
    </w:p>
    <w:p>
      <w:pPr>
        <w:pStyle w:val="BodyText"/>
        <w:spacing w:before="1"/>
        <w:rPr>
          <w:b/>
          <w:sz w:val="19"/>
        </w:rPr>
      </w:pPr>
    </w:p>
    <w:p>
      <w:pPr>
        <w:spacing w:line="249" w:lineRule="auto" w:before="1"/>
        <w:ind w:left="250" w:right="608" w:firstLine="0"/>
        <w:jc w:val="left"/>
        <w:rPr>
          <w:b/>
          <w:sz w:val="18"/>
        </w:rPr>
      </w:pPr>
      <w:r>
        <w:rPr>
          <w:b/>
          <w:sz w:val="18"/>
        </w:rPr>
        <w:t>The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Company's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Proxy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Statement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the</w:t>
      </w:r>
      <w:r>
        <w:rPr>
          <w:b/>
          <w:spacing w:val="-6"/>
          <w:sz w:val="18"/>
        </w:rPr>
        <w:t> </w:t>
      </w:r>
      <w:r>
        <w:rPr>
          <w:b/>
          <w:sz w:val="18"/>
        </w:rPr>
        <w:t>2022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Annual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Meeting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our</w:t>
      </w:r>
      <w:r>
        <w:rPr>
          <w:b/>
          <w:spacing w:val="-5"/>
          <w:sz w:val="18"/>
        </w:rPr>
        <w:t> </w:t>
      </w:r>
      <w:r>
        <w:rPr>
          <w:b/>
          <w:sz w:val="18"/>
        </w:rPr>
        <w:t>2021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Annual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Report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for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the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year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ended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December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31,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2021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are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available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at</w:t>
      </w:r>
      <w:r>
        <w:rPr>
          <w:b/>
          <w:spacing w:val="-2"/>
          <w:sz w:val="18"/>
        </w:rPr>
        <w:t> </w:t>
      </w:r>
      <w:r>
        <w:rPr>
          <w:b/>
          <w:i/>
          <w:sz w:val="18"/>
        </w:rPr>
        <w:t>https://materials.proxyvote.com/29472R</w:t>
      </w:r>
      <w:r>
        <w:rPr>
          <w:b/>
          <w:sz w:val="18"/>
        </w:rPr>
        <w:t>.</w:t>
      </w:r>
    </w:p>
    <w:p>
      <w:pPr>
        <w:pStyle w:val="BodyText"/>
        <w:spacing w:before="1"/>
        <w:rPr>
          <w:b/>
        </w:rPr>
      </w:pPr>
    </w:p>
    <w:p>
      <w:pPr>
        <w:pStyle w:val="BodyText"/>
        <w:ind w:left="4210"/>
      </w:pPr>
      <w:r>
        <w:rPr/>
        <w:t>By</w:t>
      </w:r>
      <w:r>
        <w:rPr>
          <w:spacing w:val="-4"/>
        </w:rPr>
        <w:t> </w:t>
      </w:r>
      <w:r>
        <w:rPr/>
        <w:t>Order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Directors</w:t>
      </w: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3096097</wp:posOffset>
            </wp:positionH>
            <wp:positionV relativeFrom="paragraph">
              <wp:posOffset>149764</wp:posOffset>
            </wp:positionV>
            <wp:extent cx="1102293" cy="39624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93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before="1"/>
        <w:ind w:left="4210"/>
      </w:pPr>
      <w:r>
        <w:rPr/>
        <w:t>David</w:t>
      </w:r>
      <w:r>
        <w:rPr>
          <w:spacing w:val="-12"/>
        </w:rPr>
        <w:t> </w:t>
      </w:r>
      <w:r>
        <w:rPr/>
        <w:t>P.</w:t>
      </w:r>
      <w:r>
        <w:rPr>
          <w:spacing w:val="-12"/>
        </w:rPr>
        <w:t> </w:t>
      </w:r>
      <w:r>
        <w:rPr/>
        <w:t>Eldersveld</w:t>
      </w:r>
    </w:p>
    <w:p>
      <w:pPr>
        <w:pStyle w:val="BodyText"/>
        <w:spacing w:before="10"/>
        <w:ind w:left="4210"/>
      </w:pPr>
      <w:r>
        <w:rPr/>
        <w:t>Executive</w:t>
      </w:r>
      <w:r>
        <w:rPr>
          <w:spacing w:val="-6"/>
        </w:rPr>
        <w:t> </w:t>
      </w:r>
      <w:r>
        <w:rPr/>
        <w:t>Vice</w:t>
      </w:r>
      <w:r>
        <w:rPr>
          <w:spacing w:val="-6"/>
        </w:rPr>
        <w:t> </w:t>
      </w:r>
      <w:r>
        <w:rPr/>
        <w:t>President,</w:t>
      </w:r>
      <w:r>
        <w:rPr>
          <w:spacing w:val="-6"/>
        </w:rPr>
        <w:t> </w:t>
      </w:r>
      <w:r>
        <w:rPr/>
        <w:t>Chief</w:t>
      </w:r>
      <w:r>
        <w:rPr>
          <w:spacing w:val="-6"/>
        </w:rPr>
        <w:t> </w:t>
      </w:r>
      <w:r>
        <w:rPr/>
        <w:t>Legal</w:t>
      </w:r>
      <w:r>
        <w:rPr>
          <w:spacing w:val="-6"/>
        </w:rPr>
        <w:t> </w:t>
      </w:r>
      <w:r>
        <w:rPr/>
        <w:t>Officer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Corporate</w:t>
      </w:r>
      <w:r>
        <w:rPr>
          <w:spacing w:val="-6"/>
        </w:rPr>
        <w:t> </w:t>
      </w:r>
      <w:r>
        <w:rPr/>
        <w:t>Secretary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250"/>
      </w:pPr>
      <w:r>
        <w:rPr/>
        <w:t>March</w:t>
      </w:r>
      <w:r>
        <w:rPr>
          <w:spacing w:val="-3"/>
        </w:rPr>
        <w:t> </w:t>
      </w:r>
      <w:r>
        <w:rPr/>
        <w:t>15,</w:t>
      </w:r>
      <w:r>
        <w:rPr>
          <w:spacing w:val="-3"/>
        </w:rPr>
        <w:t> </w:t>
      </w:r>
      <w:r>
        <w:rPr/>
        <w:t>2022</w:t>
      </w:r>
    </w:p>
    <w:p>
      <w:pPr>
        <w:spacing w:after="0"/>
        <w:sectPr>
          <w:type w:val="continuous"/>
          <w:pgSz w:w="12240" w:h="15840"/>
          <w:pgMar w:top="860" w:bottom="280" w:left="740" w:right="700"/>
        </w:sectPr>
      </w:pPr>
    </w:p>
    <w:p>
      <w:pPr>
        <w:pStyle w:val="Heading1"/>
        <w:spacing w:line="249" w:lineRule="auto"/>
        <w:ind w:left="4087" w:right="3159" w:hanging="947"/>
        <w:jc w:val="left"/>
      </w:pPr>
      <w:bookmarkStart w:name="Table of Contents" w:id="4"/>
      <w:bookmarkEnd w:id="4"/>
      <w:r>
        <w:rPr>
          <w:b w:val="0"/>
        </w:rPr>
      </w:r>
      <w:r>
        <w:rPr>
          <w:color w:val="00539E"/>
        </w:rPr>
        <w:t>EQUITY LIFESTYLE PROPERTIES, INC.</w:t>
      </w:r>
      <w:r>
        <w:rPr>
          <w:color w:val="00539E"/>
          <w:spacing w:val="-64"/>
        </w:rPr>
        <w:t> </w:t>
      </w:r>
      <w:r>
        <w:rPr>
          <w:color w:val="00539E"/>
        </w:rPr>
        <w:t>TABLE</w:t>
      </w:r>
      <w:r>
        <w:rPr>
          <w:color w:val="00539E"/>
          <w:spacing w:val="-1"/>
        </w:rPr>
        <w:t> </w:t>
      </w:r>
      <w:r>
        <w:rPr>
          <w:color w:val="00539E"/>
        </w:rPr>
        <w:t>OF CONTENTS</w:t>
      </w:r>
    </w:p>
    <w:p>
      <w:pPr>
        <w:spacing w:before="156"/>
        <w:ind w:left="0" w:right="400" w:firstLine="0"/>
        <w:jc w:val="right"/>
        <w:rPr>
          <w:sz w:val="18"/>
        </w:rPr>
      </w:pPr>
      <w:r>
        <w:rPr>
          <w:sz w:val="18"/>
        </w:rPr>
        <w:t>Page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10237" w:val="right" w:leader="dot"/>
            </w:tabs>
          </w:pPr>
          <w:r>
            <w:rPr/>
            <w:pict>
              <v:group style="position:absolute;margin-left:530.25pt;margin-top:.98185pt;width:32.25pt;height:1pt;mso-position-horizontal-relative:page;mso-position-vertical-relative:paragraph;z-index:15733248" id="docshapegroup5" coordorigin="10605,20" coordsize="645,20">
                <v:shape style="position:absolute;left:10605;top:29;width:645;height:2" id="docshape6" coordorigin="10605,30" coordsize="645,0" path="m11250,30l10605,30e" filled="true" fillcolor="#00539e" stroked="false">
                  <v:path arrowok="t"/>
                  <v:fill opacity="0f" type="solid"/>
                </v:shape>
                <v:line style="position:absolute" from="10605,30" to="11250,30" stroked="true" strokeweight="1pt" strokecolor="#000000">
                  <v:stroke dashstyle="solid"/>
                </v:line>
                <w10:wrap type="none"/>
              </v:group>
            </w:pict>
          </w:r>
          <w:r>
            <w:rPr/>
            <w:t>Proxy</w:t>
          </w:r>
          <w:r>
            <w:rPr>
              <w:spacing w:val="-1"/>
            </w:rPr>
            <w:t> </w:t>
          </w:r>
          <w:r>
            <w:rPr/>
            <w:t>Statement Summary</w:t>
          </w:r>
          <w:r>
            <w:rPr>
              <w:rFonts w:ascii="Times New Roman"/>
            </w:rPr>
            <w:tab/>
          </w:r>
          <w:hyperlink w:history="true" w:anchor="_bookmark0">
            <w:r>
              <w:rPr/>
              <w:t>1</w:t>
            </w:r>
          </w:hyperlink>
        </w:p>
        <w:p>
          <w:pPr>
            <w:pStyle w:val="TOC2"/>
            <w:tabs>
              <w:tab w:pos="10237" w:val="right" w:leader="dot"/>
            </w:tabs>
          </w:pPr>
          <w:r>
            <w:rPr/>
            <w:t>Our</w:t>
          </w:r>
          <w:r>
            <w:rPr>
              <w:spacing w:val="-1"/>
            </w:rPr>
            <w:t> </w:t>
          </w:r>
          <w:r>
            <w:rPr/>
            <w:t>Nature: Uniting People, Places and</w:t>
          </w:r>
          <w:r>
            <w:rPr>
              <w:spacing w:val="-1"/>
            </w:rPr>
            <w:t> </w:t>
          </w:r>
          <w:r>
            <w:rPr/>
            <w:t>Purpose</w:t>
          </w:r>
          <w:r>
            <w:rPr>
              <w:rFonts w:ascii="Times New Roman"/>
            </w:rPr>
            <w:tab/>
          </w:r>
          <w:hyperlink w:history="true" w:anchor="_bookmark1">
            <w:r>
              <w:rPr/>
              <w:t>4</w:t>
            </w:r>
          </w:hyperlink>
        </w:p>
        <w:p>
          <w:pPr>
            <w:pStyle w:val="TOC2"/>
            <w:tabs>
              <w:tab w:pos="10237" w:val="right" w:leader="dot"/>
            </w:tabs>
          </w:pPr>
          <w:r>
            <w:rPr/>
            <w:t>Corporate</w:t>
          </w:r>
          <w:r>
            <w:rPr>
              <w:spacing w:val="-1"/>
            </w:rPr>
            <w:t> </w:t>
          </w:r>
          <w:r>
            <w:rPr/>
            <w:t>Governance</w:t>
          </w:r>
          <w:r>
            <w:rPr>
              <w:rFonts w:ascii="Times New Roman"/>
            </w:rPr>
            <w:tab/>
          </w:r>
          <w:hyperlink w:history="true" w:anchor="_bookmark2">
            <w:r>
              <w:rPr/>
              <w:t>6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Governance</w:t>
          </w:r>
          <w:r>
            <w:rPr>
              <w:spacing w:val="-1"/>
            </w:rPr>
            <w:t> </w:t>
          </w:r>
          <w:r>
            <w:rPr/>
            <w:t>Policies, Code of</w:t>
          </w:r>
          <w:r>
            <w:rPr>
              <w:spacing w:val="-1"/>
            </w:rPr>
            <w:t> </w:t>
          </w:r>
          <w:r>
            <w:rPr/>
            <w:t>Ethics and Committee Charters</w:t>
          </w:r>
          <w:r>
            <w:rPr>
              <w:rFonts w:ascii="Times New Roman"/>
            </w:rPr>
            <w:tab/>
          </w:r>
          <w:hyperlink w:history="true" w:anchor="_bookmark2">
            <w:r>
              <w:rPr/>
              <w:t>6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Board</w:t>
          </w:r>
          <w:r>
            <w:rPr>
              <w:spacing w:val="-1"/>
            </w:rPr>
            <w:t> </w:t>
          </w:r>
          <w:r>
            <w:rPr/>
            <w:t>and Committee Self-Evaluation Process</w:t>
          </w:r>
          <w:r>
            <w:rPr>
              <w:rFonts w:ascii="Times New Roman"/>
            </w:rPr>
            <w:tab/>
          </w:r>
          <w:hyperlink w:history="true" w:anchor="_bookmark3">
            <w:r>
              <w:rPr/>
              <w:t>6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Engaging</w:t>
          </w:r>
          <w:r>
            <w:rPr>
              <w:spacing w:val="-1"/>
            </w:rPr>
            <w:t> </w:t>
          </w:r>
          <w:r>
            <w:rPr/>
            <w:t>with Our Stakeholders</w:t>
          </w:r>
          <w:r>
            <w:rPr>
              <w:rFonts w:ascii="Times New Roman"/>
            </w:rPr>
            <w:tab/>
          </w:r>
          <w:hyperlink w:history="true" w:anchor="_bookmark4">
            <w:r>
              <w:rPr/>
              <w:t>7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Stockholder</w:t>
          </w:r>
          <w:r>
            <w:rPr>
              <w:spacing w:val="-1"/>
            </w:rPr>
            <w:t> </w:t>
          </w:r>
          <w:r>
            <w:rPr/>
            <w:t>Communications with the Board</w:t>
          </w:r>
          <w:r>
            <w:rPr>
              <w:rFonts w:ascii="Times New Roman"/>
            </w:rPr>
            <w:tab/>
          </w:r>
          <w:hyperlink w:history="true" w:anchor="_bookmark5">
            <w:r>
              <w:rPr/>
              <w:t>7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Non-Management</w:t>
          </w:r>
          <w:r>
            <w:rPr>
              <w:spacing w:val="-1"/>
            </w:rPr>
            <w:t> </w:t>
          </w:r>
          <w:r>
            <w:rPr/>
            <w:t>Directors' Executive Sessions</w:t>
          </w:r>
          <w:r>
            <w:rPr>
              <w:rFonts w:ascii="Times New Roman"/>
            </w:rPr>
            <w:tab/>
          </w:r>
          <w:hyperlink w:history="true" w:anchor="_bookmark6">
            <w:r>
              <w:rPr/>
              <w:t>7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Board</w:t>
          </w:r>
          <w:r>
            <w:rPr>
              <w:spacing w:val="-1"/>
            </w:rPr>
            <w:t> </w:t>
          </w:r>
          <w:r>
            <w:rPr/>
            <w:t>Leadership Structure</w:t>
          </w:r>
          <w:r>
            <w:rPr>
              <w:rFonts w:ascii="Times New Roman"/>
            </w:rPr>
            <w:tab/>
          </w:r>
          <w:hyperlink w:history="true" w:anchor="_bookmark8">
            <w:r>
              <w:rPr/>
              <w:t>8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Management</w:t>
          </w:r>
          <w:r>
            <w:rPr>
              <w:spacing w:val="-1"/>
            </w:rPr>
            <w:t> </w:t>
          </w:r>
          <w:r>
            <w:rPr/>
            <w:t>Development and Succession Planning</w:t>
          </w:r>
          <w:r>
            <w:rPr>
              <w:rFonts w:ascii="Times New Roman"/>
            </w:rPr>
            <w:tab/>
          </w:r>
          <w:hyperlink w:history="true" w:anchor="_bookmark7">
            <w:r>
              <w:rPr/>
              <w:t>8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Risk</w:t>
          </w:r>
          <w:r>
            <w:rPr>
              <w:spacing w:val="-1"/>
            </w:rPr>
            <w:t> </w:t>
          </w:r>
          <w:r>
            <w:rPr/>
            <w:t>Oversight</w:t>
          </w:r>
          <w:r>
            <w:rPr>
              <w:rFonts w:ascii="Times New Roman"/>
            </w:rPr>
            <w:tab/>
          </w:r>
          <w:hyperlink w:history="true" w:anchor="_bookmark8">
            <w:r>
              <w:rPr/>
              <w:t>8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Cyber</w:t>
          </w:r>
          <w:r>
            <w:rPr>
              <w:spacing w:val="-1"/>
            </w:rPr>
            <w:t> </w:t>
          </w:r>
          <w:r>
            <w:rPr/>
            <w:t>Security</w:t>
          </w:r>
          <w:r>
            <w:rPr>
              <w:rFonts w:ascii="Times New Roman"/>
            </w:rPr>
            <w:tab/>
          </w:r>
          <w:hyperlink w:history="true" w:anchor="_bookmark9">
            <w:r>
              <w:rPr/>
              <w:t>9</w:t>
            </w:r>
          </w:hyperlink>
        </w:p>
        <w:p>
          <w:pPr>
            <w:pStyle w:val="TOC3"/>
            <w:tabs>
              <w:tab w:pos="10237" w:val="right" w:leader="dot"/>
            </w:tabs>
          </w:pPr>
          <w:r>
            <w:rPr/>
            <w:t>Securities</w:t>
          </w:r>
          <w:r>
            <w:rPr>
              <w:spacing w:val="-1"/>
            </w:rPr>
            <w:t> </w:t>
          </w:r>
          <w:r>
            <w:rPr/>
            <w:t>Hedging Policy</w:t>
          </w:r>
          <w:r>
            <w:rPr>
              <w:rFonts w:ascii="Times New Roman"/>
            </w:rPr>
            <w:tab/>
          </w:r>
          <w:hyperlink w:history="true" w:anchor="_bookmark10">
            <w:r>
              <w:rPr/>
              <w:t>9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Securities</w:t>
          </w:r>
          <w:r>
            <w:rPr>
              <w:spacing w:val="-1"/>
            </w:rPr>
            <w:t> </w:t>
          </w:r>
          <w:r>
            <w:rPr/>
            <w:t>Pledging Policy</w:t>
          </w:r>
          <w:r>
            <w:rPr>
              <w:rFonts w:ascii="Times New Roman"/>
            </w:rPr>
            <w:tab/>
          </w:r>
          <w:hyperlink w:history="true" w:anchor="_bookmark11">
            <w:r>
              <w:rPr/>
              <w:t>10</w:t>
            </w:r>
          </w:hyperlink>
        </w:p>
        <w:p>
          <w:pPr>
            <w:pStyle w:val="TOC3"/>
            <w:tabs>
              <w:tab w:pos="10280" w:val="right" w:leader="dot"/>
            </w:tabs>
          </w:pPr>
          <w:r>
            <w:rPr/>
            <w:t>Political</w:t>
          </w:r>
          <w:r>
            <w:rPr>
              <w:spacing w:val="-1"/>
            </w:rPr>
            <w:t> </w:t>
          </w:r>
          <w:r>
            <w:rPr/>
            <w:t>Contributions Policy</w:t>
          </w:r>
          <w:r>
            <w:rPr>
              <w:rFonts w:ascii="Times New Roman"/>
            </w:rPr>
            <w:tab/>
          </w:r>
          <w:hyperlink w:history="true" w:anchor="_bookmark12">
            <w:r>
              <w:rPr/>
              <w:t>11</w:t>
            </w:r>
          </w:hyperlink>
        </w:p>
        <w:p>
          <w:pPr>
            <w:pStyle w:val="TOC3"/>
            <w:tabs>
              <w:tab w:pos="10280" w:val="right" w:leader="dot"/>
            </w:tabs>
          </w:pPr>
          <w:r>
            <w:rPr/>
            <w:t>Committees</w:t>
          </w:r>
          <w:r>
            <w:rPr>
              <w:spacing w:val="-1"/>
            </w:rPr>
            <w:t> </w:t>
          </w:r>
          <w:r>
            <w:rPr/>
            <w:t>of the Board; Meetings</w:t>
          </w:r>
          <w:r>
            <w:rPr>
              <w:rFonts w:ascii="Times New Roman"/>
            </w:rPr>
            <w:tab/>
          </w:r>
          <w:hyperlink w:history="true" w:anchor="_bookmark13">
            <w:r>
              <w:rPr/>
              <w:t>11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Board</w:t>
          </w:r>
          <w:r>
            <w:rPr>
              <w:spacing w:val="-1"/>
            </w:rPr>
            <w:t> </w:t>
          </w:r>
          <w:r>
            <w:rPr/>
            <w:t>Composition, Refreshment and Diversity</w:t>
          </w:r>
          <w:r>
            <w:rPr>
              <w:rFonts w:ascii="Times New Roman"/>
            </w:rPr>
            <w:tab/>
          </w:r>
          <w:hyperlink w:history="true" w:anchor="_bookmark14">
            <w:r>
              <w:rPr/>
              <w:t>13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Executive</w:t>
          </w:r>
          <w:r>
            <w:rPr>
              <w:spacing w:val="-1"/>
            </w:rPr>
            <w:t> </w:t>
          </w:r>
          <w:r>
            <w:rPr/>
            <w:t>Officers' Biographical Information</w:t>
          </w:r>
          <w:r>
            <w:rPr>
              <w:rFonts w:ascii="Times New Roman"/>
            </w:rPr>
            <w:tab/>
          </w:r>
          <w:hyperlink w:history="true" w:anchor="_bookmark15">
            <w:r>
              <w:rPr/>
              <w:t>13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Stockholder</w:t>
          </w:r>
          <w:r>
            <w:rPr>
              <w:spacing w:val="-1"/>
            </w:rPr>
            <w:t> </w:t>
          </w:r>
          <w:r>
            <w:rPr/>
            <w:t>Right to</w:t>
          </w:r>
          <w:r>
            <w:rPr>
              <w:spacing w:val="-10"/>
            </w:rPr>
            <w:t> </w:t>
          </w:r>
          <w:r>
            <w:rPr/>
            <w:t>Amend the Bylaws</w:t>
          </w:r>
          <w:r>
            <w:rPr>
              <w:rFonts w:ascii="Times New Roman"/>
            </w:rPr>
            <w:tab/>
          </w:r>
          <w:hyperlink w:history="true" w:anchor="_bookmark16">
            <w:r>
              <w:rPr/>
              <w:t>13</w:t>
            </w:r>
          </w:hyperlink>
        </w:p>
        <w:p>
          <w:pPr>
            <w:pStyle w:val="TOC1"/>
            <w:tabs>
              <w:tab w:pos="10287" w:val="right" w:leader="dot"/>
            </w:tabs>
            <w:rPr>
              <w:b w:val="0"/>
            </w:rPr>
          </w:pPr>
          <w:r>
            <w:rPr>
              <w:color w:val="00539E"/>
            </w:rPr>
            <w:t>Proposal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No. 1 - Election of Directors</w:t>
          </w:r>
          <w:r>
            <w:rPr>
              <w:rFonts w:ascii="Times New Roman"/>
              <w:color w:val="00539E"/>
            </w:rPr>
            <w:tab/>
          </w:r>
          <w:hyperlink w:history="true" w:anchor="_bookmark17">
            <w:r>
              <w:rPr>
                <w:b w:val="0"/>
              </w:rPr>
              <w:t>14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Independence</w:t>
          </w:r>
          <w:r>
            <w:rPr>
              <w:spacing w:val="-1"/>
            </w:rPr>
            <w:t> </w:t>
          </w:r>
          <w:r>
            <w:rPr/>
            <w:t>of Directors</w:t>
          </w:r>
          <w:r>
            <w:rPr>
              <w:rFonts w:ascii="Times New Roman"/>
            </w:rPr>
            <w:tab/>
          </w:r>
          <w:hyperlink w:history="true" w:anchor="_bookmark17">
            <w:r>
              <w:rPr/>
              <w:t>14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Nominee</w:t>
          </w:r>
          <w:r>
            <w:rPr>
              <w:spacing w:val="-1"/>
            </w:rPr>
            <w:t> </w:t>
          </w:r>
          <w:r>
            <w:rPr/>
            <w:t>Information, Qualifications, Skills</w:t>
          </w:r>
          <w:r>
            <w:rPr>
              <w:spacing w:val="-1"/>
            </w:rPr>
            <w:t> </w:t>
          </w:r>
          <w:r>
            <w:rPr/>
            <w:t>and Experience</w:t>
          </w:r>
          <w:r>
            <w:rPr>
              <w:rFonts w:ascii="Times New Roman"/>
            </w:rPr>
            <w:tab/>
          </w:r>
          <w:hyperlink w:history="true" w:anchor="_bookmark18">
            <w:r>
              <w:rPr/>
              <w:t>14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Nominees'</w:t>
          </w:r>
          <w:r>
            <w:rPr>
              <w:spacing w:val="-1"/>
            </w:rPr>
            <w:t> </w:t>
          </w:r>
          <w:r>
            <w:rPr/>
            <w:t>Biographical Information</w:t>
          </w:r>
          <w:r>
            <w:rPr>
              <w:rFonts w:ascii="Times New Roman"/>
            </w:rPr>
            <w:tab/>
          </w:r>
          <w:hyperlink w:history="true" w:anchor="_bookmark19">
            <w:r>
              <w:rPr/>
              <w:t>16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Director</w:t>
          </w:r>
          <w:r>
            <w:rPr>
              <w:spacing w:val="-1"/>
            </w:rPr>
            <w:t> </w:t>
          </w:r>
          <w:r>
            <w:rPr/>
            <w:t>Compensation</w:t>
          </w:r>
          <w:r>
            <w:rPr>
              <w:rFonts w:ascii="Times New Roman"/>
            </w:rPr>
            <w:tab/>
          </w:r>
          <w:hyperlink w:history="true" w:anchor="_bookmark20">
            <w:r>
              <w:rPr/>
              <w:t>20</w:t>
            </w:r>
          </w:hyperlink>
        </w:p>
        <w:p>
          <w:pPr>
            <w:pStyle w:val="TOC1"/>
            <w:tabs>
              <w:tab w:pos="10287" w:val="right" w:leader="dot"/>
            </w:tabs>
            <w:rPr>
              <w:b w:val="0"/>
            </w:rPr>
          </w:pPr>
          <w:r>
            <w:rPr>
              <w:color w:val="00539E"/>
            </w:rPr>
            <w:t>Proposal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No.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2 -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Ratification of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the Selection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of Independent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Registered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Public Accounting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Firm</w:t>
          </w:r>
          <w:r>
            <w:rPr>
              <w:rFonts w:ascii="Times New Roman"/>
              <w:color w:val="00539E"/>
            </w:rPr>
            <w:tab/>
          </w:r>
          <w:hyperlink w:history="true" w:anchor="_bookmark21">
            <w:r>
              <w:rPr>
                <w:b w:val="0"/>
              </w:rPr>
              <w:t>22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Audit</w:t>
          </w:r>
          <w:r>
            <w:rPr>
              <w:spacing w:val="-1"/>
            </w:rPr>
            <w:t> </w:t>
          </w:r>
          <w:r>
            <w:rPr/>
            <w:t>Committee Report</w:t>
          </w:r>
          <w:r>
            <w:rPr>
              <w:rFonts w:ascii="Times New Roman"/>
            </w:rPr>
            <w:tab/>
          </w:r>
          <w:hyperlink w:history="true" w:anchor="_bookmark22">
            <w:r>
              <w:rPr/>
              <w:t>23</w:t>
            </w:r>
          </w:hyperlink>
        </w:p>
        <w:p>
          <w:pPr>
            <w:pStyle w:val="TOC2"/>
            <w:tabs>
              <w:tab w:pos="10287" w:val="right" w:leader="dot"/>
            </w:tabs>
            <w:spacing w:before="34"/>
          </w:pPr>
          <w:r>
            <w:rPr/>
            <w:t>Compensation</w:t>
          </w:r>
          <w:r>
            <w:rPr>
              <w:spacing w:val="-1"/>
            </w:rPr>
            <w:t> </w:t>
          </w:r>
          <w:r>
            <w:rPr/>
            <w:t>Discussion and</w:t>
          </w:r>
          <w:r>
            <w:rPr>
              <w:spacing w:val="-10"/>
            </w:rPr>
            <w:t> </w:t>
          </w:r>
          <w:r>
            <w:rPr/>
            <w:t>Analysis</w:t>
          </w:r>
          <w:r>
            <w:rPr>
              <w:rFonts w:ascii="Times New Roman"/>
            </w:rPr>
            <w:tab/>
          </w:r>
          <w:hyperlink w:history="true" w:anchor="_bookmark23">
            <w:r>
              <w:rPr/>
              <w:t>24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Compensation</w:t>
          </w:r>
          <w:r>
            <w:rPr>
              <w:spacing w:val="-1"/>
            </w:rPr>
            <w:t> </w:t>
          </w:r>
          <w:r>
            <w:rPr/>
            <w:t>Committee Report</w:t>
          </w:r>
          <w:r>
            <w:rPr>
              <w:rFonts w:ascii="Times New Roman"/>
            </w:rPr>
            <w:tab/>
          </w:r>
          <w:hyperlink w:history="true" w:anchor="_bookmark24">
            <w:r>
              <w:rPr/>
              <w:t>37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Executive</w:t>
          </w:r>
          <w:r>
            <w:rPr>
              <w:spacing w:val="-1"/>
            </w:rPr>
            <w:t> </w:t>
          </w:r>
          <w:r>
            <w:rPr/>
            <w:t>Compensation</w:t>
          </w:r>
          <w:r>
            <w:rPr>
              <w:rFonts w:ascii="Times New Roman"/>
            </w:rPr>
            <w:tab/>
          </w:r>
          <w:hyperlink w:history="true" w:anchor="_bookmark25">
            <w:r>
              <w:rPr/>
              <w:t>38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Summary</w:t>
          </w:r>
          <w:r>
            <w:rPr>
              <w:spacing w:val="-1"/>
            </w:rPr>
            <w:t> </w:t>
          </w:r>
          <w:r>
            <w:rPr/>
            <w:t>Compensation</w:t>
          </w:r>
          <w:r>
            <w:rPr>
              <w:spacing w:val="-4"/>
            </w:rPr>
            <w:t> </w:t>
          </w:r>
          <w:r>
            <w:rPr/>
            <w:t>Table</w:t>
          </w:r>
          <w:r>
            <w:rPr>
              <w:rFonts w:ascii="Times New Roman"/>
            </w:rPr>
            <w:tab/>
          </w:r>
          <w:hyperlink w:history="true" w:anchor="_bookmark26">
            <w:r>
              <w:rPr/>
              <w:t>38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Grants</w:t>
          </w:r>
          <w:r>
            <w:rPr>
              <w:spacing w:val="-1"/>
            </w:rPr>
            <w:t> </w:t>
          </w:r>
          <w:r>
            <w:rPr/>
            <w:t>of Plan-Based</w:t>
          </w:r>
          <w:r>
            <w:rPr>
              <w:spacing w:val="-10"/>
            </w:rPr>
            <w:t> </w:t>
          </w:r>
          <w:r>
            <w:rPr/>
            <w:t>Awards</w:t>
          </w:r>
          <w:r>
            <w:rPr>
              <w:rFonts w:ascii="Times New Roman"/>
            </w:rPr>
            <w:tab/>
          </w:r>
          <w:hyperlink w:history="true" w:anchor="_bookmark27">
            <w:r>
              <w:rPr/>
              <w:t>39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Outstanding</w:t>
          </w:r>
          <w:r>
            <w:rPr>
              <w:spacing w:val="-1"/>
            </w:rPr>
            <w:t> </w:t>
          </w:r>
          <w:r>
            <w:rPr/>
            <w:t>Equity</w:t>
          </w:r>
          <w:r>
            <w:rPr>
              <w:spacing w:val="-10"/>
            </w:rPr>
            <w:t> </w:t>
          </w:r>
          <w:r>
            <w:rPr/>
            <w:t>Awards at</w:t>
          </w:r>
          <w:r>
            <w:rPr>
              <w:spacing w:val="-1"/>
            </w:rPr>
            <w:t> </w:t>
          </w:r>
          <w:r>
            <w:rPr/>
            <w:t>Fiscal</w:t>
          </w:r>
          <w:r>
            <w:rPr>
              <w:spacing w:val="-4"/>
            </w:rPr>
            <w:t> </w:t>
          </w:r>
          <w:r>
            <w:rPr/>
            <w:t>Year-End</w:t>
          </w:r>
          <w:r>
            <w:rPr>
              <w:rFonts w:ascii="Times New Roman"/>
            </w:rPr>
            <w:tab/>
          </w:r>
          <w:hyperlink w:history="true" w:anchor="_bookmark28">
            <w:r>
              <w:rPr/>
              <w:t>40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Option</w:t>
          </w:r>
          <w:r>
            <w:rPr>
              <w:spacing w:val="-1"/>
            </w:rPr>
            <w:t> </w:t>
          </w:r>
          <w:r>
            <w:rPr/>
            <w:t>Exercises and Stock Vested</w:t>
          </w:r>
          <w:r>
            <w:rPr>
              <w:rFonts w:ascii="Times New Roman"/>
            </w:rPr>
            <w:tab/>
          </w:r>
          <w:hyperlink w:history="true" w:anchor="_bookmark29">
            <w:r>
              <w:rPr/>
              <w:t>40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Potential</w:t>
          </w:r>
          <w:r>
            <w:rPr>
              <w:spacing w:val="-1"/>
            </w:rPr>
            <w:t> </w:t>
          </w:r>
          <w:r>
            <w:rPr/>
            <w:t>Payments</w:t>
          </w:r>
          <w:r>
            <w:rPr>
              <w:spacing w:val="-1"/>
            </w:rPr>
            <w:t> </w:t>
          </w:r>
          <w:r>
            <w:rPr/>
            <w:t>Upon</w:t>
          </w:r>
          <w:r>
            <w:rPr>
              <w:spacing w:val="-5"/>
            </w:rPr>
            <w:t> </w:t>
          </w:r>
          <w:r>
            <w:rPr/>
            <w:t>Termination of</w:t>
          </w:r>
          <w:r>
            <w:rPr>
              <w:spacing w:val="-1"/>
            </w:rPr>
            <w:t> </w:t>
          </w:r>
          <w:r>
            <w:rPr/>
            <w:t>Employment</w:t>
          </w:r>
          <w:r>
            <w:rPr>
              <w:spacing w:val="-1"/>
            </w:rPr>
            <w:t> </w:t>
          </w:r>
          <w:r>
            <w:rPr/>
            <w:t>or Change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Control</w:t>
          </w:r>
          <w:r>
            <w:rPr>
              <w:rFonts w:ascii="Times New Roman"/>
            </w:rPr>
            <w:tab/>
          </w:r>
          <w:hyperlink w:history="true" w:anchor="_bookmark30">
            <w:r>
              <w:rPr/>
              <w:t>41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CEO</w:t>
          </w:r>
          <w:r>
            <w:rPr>
              <w:spacing w:val="-1"/>
            </w:rPr>
            <w:t> </w:t>
          </w:r>
          <w:r>
            <w:rPr/>
            <w:t>Pay Ratio</w:t>
          </w:r>
          <w:r>
            <w:rPr>
              <w:rFonts w:ascii="Times New Roman"/>
            </w:rPr>
            <w:tab/>
          </w:r>
          <w:hyperlink w:history="true" w:anchor="_bookmark31">
            <w:r>
              <w:rPr/>
              <w:t>41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Narrative</w:t>
          </w:r>
          <w:r>
            <w:rPr>
              <w:spacing w:val="-3"/>
            </w:rPr>
            <w:t> </w:t>
          </w:r>
          <w:r>
            <w:rPr/>
            <w:t>Disclosure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Company's</w:t>
          </w:r>
          <w:r>
            <w:rPr>
              <w:spacing w:val="-2"/>
            </w:rPr>
            <w:t> </w:t>
          </w:r>
          <w:r>
            <w:rPr/>
            <w:t>Compensation</w:t>
          </w:r>
          <w:r>
            <w:rPr>
              <w:spacing w:val="-2"/>
            </w:rPr>
            <w:t> </w:t>
          </w:r>
          <w:r>
            <w:rPr/>
            <w:t>Policies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Practices</w:t>
          </w:r>
          <w:r>
            <w:rPr>
              <w:spacing w:val="-2"/>
            </w:rPr>
            <w:t> </w:t>
          </w:r>
          <w:r>
            <w:rPr/>
            <w:t>as</w:t>
          </w:r>
          <w:r>
            <w:rPr>
              <w:spacing w:val="-6"/>
            </w:rPr>
            <w:t> </w:t>
          </w:r>
          <w:r>
            <w:rPr/>
            <w:t>They</w:t>
          </w:r>
          <w:r>
            <w:rPr>
              <w:spacing w:val="-2"/>
            </w:rPr>
            <w:t> </w:t>
          </w:r>
          <w:r>
            <w:rPr/>
            <w:t>Relate</w:t>
          </w:r>
          <w:r>
            <w:rPr>
              <w:spacing w:val="-2"/>
            </w:rPr>
            <w:t> </w:t>
          </w:r>
          <w:r>
            <w:rPr/>
            <w:t>to</w:t>
          </w:r>
          <w:r>
            <w:rPr>
              <w:spacing w:val="-3"/>
            </w:rPr>
            <w:t> </w:t>
          </w:r>
          <w:r>
            <w:rPr/>
            <w:t>Risk</w:t>
          </w:r>
          <w:r>
            <w:rPr>
              <w:spacing w:val="-2"/>
            </w:rPr>
            <w:t> </w:t>
          </w:r>
          <w:r>
            <w:rPr/>
            <w:t>Management</w:t>
          </w:r>
          <w:r>
            <w:rPr>
              <w:rFonts w:ascii="Times New Roman"/>
            </w:rPr>
            <w:tab/>
          </w:r>
          <w:hyperlink w:history="true" w:anchor="_bookmark32">
            <w:r>
              <w:rPr/>
              <w:t>41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Compensation</w:t>
          </w:r>
          <w:r>
            <w:rPr>
              <w:spacing w:val="-1"/>
            </w:rPr>
            <w:t> </w:t>
          </w:r>
          <w:r>
            <w:rPr/>
            <w:t>Committee Interlocks and</w:t>
          </w:r>
          <w:r>
            <w:rPr>
              <w:spacing w:val="-1"/>
            </w:rPr>
            <w:t> </w:t>
          </w:r>
          <w:r>
            <w:rPr/>
            <w:t>Insider Participation</w:t>
          </w:r>
          <w:r>
            <w:rPr>
              <w:rFonts w:ascii="Times New Roman"/>
            </w:rPr>
            <w:tab/>
          </w:r>
          <w:hyperlink w:history="true" w:anchor="_bookmark33">
            <w:r>
              <w:rPr/>
              <w:t>41</w:t>
            </w:r>
          </w:hyperlink>
        </w:p>
        <w:p>
          <w:pPr>
            <w:pStyle w:val="TOC1"/>
            <w:tabs>
              <w:tab w:pos="10287" w:val="right" w:leader="dot"/>
            </w:tabs>
            <w:rPr>
              <w:b w:val="0"/>
            </w:rPr>
          </w:pPr>
          <w:r>
            <w:rPr>
              <w:color w:val="00539E"/>
            </w:rPr>
            <w:t>Proposal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No. 3 - Non-Binding,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Advisory Vote on Executive</w:t>
          </w:r>
          <w:r>
            <w:rPr>
              <w:color w:val="00539E"/>
              <w:spacing w:val="-1"/>
            </w:rPr>
            <w:t> </w:t>
          </w:r>
          <w:r>
            <w:rPr>
              <w:color w:val="00539E"/>
            </w:rPr>
            <w:t>Compensation</w:t>
          </w:r>
          <w:r>
            <w:rPr>
              <w:rFonts w:ascii="Times New Roman"/>
              <w:color w:val="00539E"/>
            </w:rPr>
            <w:tab/>
          </w:r>
          <w:hyperlink w:history="true" w:anchor="_bookmark34">
            <w:r>
              <w:rPr>
                <w:b w:val="0"/>
              </w:rPr>
              <w:t>42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Security</w:t>
          </w:r>
          <w:r>
            <w:rPr>
              <w:spacing w:val="-1"/>
            </w:rPr>
            <w:t> </w:t>
          </w:r>
          <w:r>
            <w:rPr/>
            <w:t>Ownership of Certain Beneficial Owners</w:t>
          </w:r>
          <w:r>
            <w:rPr>
              <w:rFonts w:ascii="Times New Roman"/>
            </w:rPr>
            <w:tab/>
          </w:r>
          <w:hyperlink w:history="true" w:anchor="_bookmark35">
            <w:r>
              <w:rPr/>
              <w:t>43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Security</w:t>
          </w:r>
          <w:r>
            <w:rPr>
              <w:spacing w:val="-1"/>
            </w:rPr>
            <w:t> </w:t>
          </w:r>
          <w:r>
            <w:rPr/>
            <w:t>Ownership of Management and Directors</w:t>
          </w:r>
          <w:r>
            <w:rPr>
              <w:rFonts w:ascii="Times New Roman"/>
            </w:rPr>
            <w:tab/>
          </w:r>
          <w:hyperlink w:history="true" w:anchor="_bookmark36">
            <w:r>
              <w:rPr/>
              <w:t>44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Questions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0"/>
            </w:rPr>
            <w:t> </w:t>
          </w:r>
          <w:r>
            <w:rPr/>
            <w:t>Answers</w:t>
          </w:r>
          <w:r>
            <w:rPr>
              <w:spacing w:val="-10"/>
            </w:rPr>
            <w:t> </w:t>
          </w:r>
          <w:r>
            <w:rPr/>
            <w:t>About the</w:t>
          </w:r>
          <w:r>
            <w:rPr>
              <w:spacing w:val="-10"/>
            </w:rPr>
            <w:t> </w:t>
          </w:r>
          <w:r>
            <w:rPr/>
            <w:t>Annual</w:t>
          </w:r>
          <w:r>
            <w:rPr>
              <w:spacing w:val="-1"/>
            </w:rPr>
            <w:t> </w:t>
          </w:r>
          <w:r>
            <w:rPr/>
            <w:t>Meeting</w:t>
          </w:r>
          <w:r>
            <w:rPr>
              <w:rFonts w:ascii="Times New Roman"/>
            </w:rPr>
            <w:tab/>
          </w:r>
          <w:hyperlink w:history="true" w:anchor="_bookmark37">
            <w:r>
              <w:rPr/>
              <w:t>45</w:t>
            </w:r>
          </w:hyperlink>
        </w:p>
        <w:p>
          <w:pPr>
            <w:pStyle w:val="TOC2"/>
            <w:tabs>
              <w:tab w:pos="10287" w:val="right" w:leader="dot"/>
            </w:tabs>
            <w:spacing w:before="48"/>
          </w:pPr>
          <w:r>
            <w:rPr/>
            <w:t>Additional</w:t>
          </w:r>
          <w:r>
            <w:rPr>
              <w:spacing w:val="-1"/>
            </w:rPr>
            <w:t> </w:t>
          </w:r>
          <w:r>
            <w:rPr/>
            <w:t>Information</w:t>
          </w:r>
          <w:r>
            <w:rPr>
              <w:rFonts w:ascii="Times New Roman"/>
            </w:rPr>
            <w:tab/>
          </w:r>
          <w:hyperlink w:history="true" w:anchor="_bookmark38">
            <w:r>
              <w:rPr/>
              <w:t>47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Certain</w:t>
          </w:r>
          <w:r>
            <w:rPr>
              <w:spacing w:val="-1"/>
            </w:rPr>
            <w:t> </w:t>
          </w:r>
          <w:r>
            <w:rPr/>
            <w:t>Relationships and Related</w:t>
          </w:r>
          <w:r>
            <w:rPr>
              <w:spacing w:val="-5"/>
            </w:rPr>
            <w:t> </w:t>
          </w:r>
          <w:r>
            <w:rPr/>
            <w:t>Transactions</w:t>
          </w:r>
          <w:r>
            <w:rPr>
              <w:rFonts w:ascii="Times New Roman"/>
            </w:rPr>
            <w:tab/>
          </w:r>
          <w:hyperlink w:history="true" w:anchor="_bookmark39">
            <w:r>
              <w:rPr/>
              <w:t>47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Delinquent</w:t>
          </w:r>
          <w:r>
            <w:rPr>
              <w:spacing w:val="-1"/>
            </w:rPr>
            <w:t> </w:t>
          </w:r>
          <w:r>
            <w:rPr/>
            <w:t>Section 16(a) Reports</w:t>
          </w:r>
          <w:r>
            <w:rPr>
              <w:rFonts w:ascii="Times New Roman"/>
            </w:rPr>
            <w:tab/>
          </w:r>
          <w:hyperlink w:history="true" w:anchor="_bookmark40">
            <w:r>
              <w:rPr/>
              <w:t>47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Stockholder</w:t>
          </w:r>
          <w:r>
            <w:rPr>
              <w:spacing w:val="-1"/>
            </w:rPr>
            <w:t> </w:t>
          </w:r>
          <w:r>
            <w:rPr/>
            <w:t>Proposals for the 2023</w:t>
          </w:r>
          <w:r>
            <w:rPr>
              <w:spacing w:val="-11"/>
            </w:rPr>
            <w:t> </w:t>
          </w:r>
          <w:r>
            <w:rPr/>
            <w:t>Annual Meeting</w:t>
          </w:r>
          <w:r>
            <w:rPr>
              <w:rFonts w:ascii="Times New Roman"/>
            </w:rPr>
            <w:tab/>
          </w:r>
          <w:hyperlink w:history="true" w:anchor="_bookmark41">
            <w:r>
              <w:rPr/>
              <w:t>47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2021</w:t>
          </w:r>
          <w:r>
            <w:rPr>
              <w:spacing w:val="-11"/>
            </w:rPr>
            <w:t> </w:t>
          </w:r>
          <w:r>
            <w:rPr/>
            <w:t>Annual Report</w:t>
          </w:r>
          <w:r>
            <w:rPr>
              <w:rFonts w:ascii="Times New Roman"/>
            </w:rPr>
            <w:tab/>
          </w:r>
          <w:hyperlink w:history="true" w:anchor="_bookmark42">
            <w:r>
              <w:rPr/>
              <w:t>48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Householding</w:t>
          </w:r>
          <w:r>
            <w:rPr>
              <w:spacing w:val="-1"/>
            </w:rPr>
            <w:t> </w:t>
          </w:r>
          <w:r>
            <w:rPr/>
            <w:t>of Proxy Materials</w:t>
          </w:r>
          <w:r>
            <w:rPr>
              <w:rFonts w:ascii="Times New Roman"/>
            </w:rPr>
            <w:tab/>
          </w:r>
          <w:hyperlink w:history="true" w:anchor="_bookmark43">
            <w:r>
              <w:rPr/>
              <w:t>48</w:t>
            </w:r>
          </w:hyperlink>
        </w:p>
        <w:p>
          <w:pPr>
            <w:pStyle w:val="TOC3"/>
            <w:tabs>
              <w:tab w:pos="10287" w:val="right" w:leader="dot"/>
            </w:tabs>
          </w:pPr>
          <w:r>
            <w:rPr/>
            <w:t>Other</w:t>
          </w:r>
          <w:r>
            <w:rPr>
              <w:spacing w:val="-1"/>
            </w:rPr>
            <w:t> </w:t>
          </w:r>
          <w:r>
            <w:rPr/>
            <w:t>Matters</w:t>
          </w:r>
          <w:r>
            <w:rPr>
              <w:rFonts w:ascii="Times New Roman"/>
            </w:rPr>
            <w:tab/>
          </w:r>
          <w:hyperlink w:history="true" w:anchor="_bookmark44">
            <w:r>
              <w:rPr/>
              <w:t>48</w:t>
            </w:r>
          </w:hyperlink>
        </w:p>
        <w:p>
          <w:pPr>
            <w:pStyle w:val="TOC2"/>
            <w:tabs>
              <w:tab w:pos="10287" w:val="right" w:leader="dot"/>
            </w:tabs>
          </w:pPr>
          <w:r>
            <w:rPr/>
            <w:t>Appendix</w:t>
          </w:r>
          <w:r>
            <w:rPr>
              <w:spacing w:val="-11"/>
            </w:rPr>
            <w:t> </w:t>
          </w:r>
          <w:r>
            <w:rPr/>
            <w:t>A</w:t>
          </w:r>
          <w:r>
            <w:rPr>
              <w:rFonts w:ascii="Times New Roman"/>
            </w:rPr>
            <w:tab/>
          </w:r>
          <w:hyperlink w:history="true" w:anchor="_bookmark45">
            <w:r>
              <w:rPr/>
              <w:t>49</w:t>
            </w:r>
          </w:hyperlink>
        </w:p>
      </w:sdtContent>
    </w:sdt>
    <w:p>
      <w:pPr>
        <w:spacing w:after="0"/>
        <w:sectPr>
          <w:pgSz w:w="12240" w:h="15840"/>
          <w:pgMar w:top="740" w:bottom="280" w:left="740" w:right="700"/>
        </w:sectPr>
      </w:pPr>
    </w:p>
    <w:p>
      <w:pPr>
        <w:pStyle w:val="BodyText"/>
        <w:ind w:left="3711"/>
      </w:pPr>
      <w:r>
        <w:rPr/>
        <w:drawing>
          <wp:inline distT="0" distB="0" distL="0" distR="0">
            <wp:extent cx="2157635" cy="813053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635" cy="81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Title"/>
      </w:pPr>
      <w:bookmarkStart w:name="Proxy Statement Summary" w:id="5"/>
      <w:bookmarkEnd w:id="5"/>
      <w:r>
        <w:rPr>
          <w:b w:val="0"/>
        </w:rPr>
      </w:r>
      <w:bookmarkStart w:name="_bookmark0" w:id="6"/>
      <w:bookmarkEnd w:id="6"/>
      <w:r>
        <w:rPr>
          <w:b w:val="0"/>
        </w:rPr>
      </w:r>
      <w:r>
        <w:rPr>
          <w:color w:val="00539E"/>
        </w:rPr>
        <w:t>PROXY</w:t>
      </w:r>
      <w:r>
        <w:rPr>
          <w:color w:val="00539E"/>
          <w:spacing w:val="-3"/>
        </w:rPr>
        <w:t> </w:t>
      </w:r>
      <w:r>
        <w:rPr>
          <w:color w:val="00539E"/>
        </w:rPr>
        <w:t>STATEMENT</w:t>
      </w:r>
    </w:p>
    <w:p>
      <w:pPr>
        <w:pStyle w:val="BodyText"/>
        <w:rPr>
          <w:b/>
          <w:sz w:val="25"/>
        </w:rPr>
      </w:pPr>
      <w:r>
        <w:rPr/>
        <w:pict>
          <v:shape style="position:absolute;margin-left:261.519989pt;margin-top:15.601306pt;width:89pt;height:.1pt;mso-position-horizontal-relative:page;mso-position-vertical-relative:paragraph;z-index:-15723520;mso-wrap-distance-left:0;mso-wrap-distance-right:0" id="docshape8" coordorigin="5230,312" coordsize="1780,0" path="m5230,312l7010,312e" filled="false" stroked="true" strokeweight=".634844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249" w:lineRule="auto" w:before="93"/>
        <w:ind w:left="250" w:right="282"/>
      </w:pPr>
      <w:r>
        <w:rPr/>
        <w:t>This Proxy Statement contains information related to the 2022 Annual Meeting of Stockholders (the "Annual</w:t>
      </w:r>
      <w:r>
        <w:rPr>
          <w:spacing w:val="1"/>
        </w:rPr>
        <w:t> </w:t>
      </w:r>
      <w:r>
        <w:rPr/>
        <w:t>Meeting")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Equity</w:t>
      </w:r>
      <w:r>
        <w:rPr>
          <w:spacing w:val="-5"/>
        </w:rPr>
        <w:t> </w:t>
      </w:r>
      <w:r>
        <w:rPr/>
        <w:t>LifeStyle</w:t>
      </w:r>
      <w:r>
        <w:rPr>
          <w:spacing w:val="-5"/>
        </w:rPr>
        <w:t> </w:t>
      </w:r>
      <w:r>
        <w:rPr/>
        <w:t>Properties,</w:t>
      </w:r>
      <w:r>
        <w:rPr>
          <w:spacing w:val="-5"/>
        </w:rPr>
        <w:t> </w:t>
      </w:r>
      <w:r>
        <w:rPr/>
        <w:t>Inc.,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Maryland</w:t>
      </w:r>
      <w:r>
        <w:rPr>
          <w:spacing w:val="-5"/>
        </w:rPr>
        <w:t> </w:t>
      </w:r>
      <w:r>
        <w:rPr/>
        <w:t>corporation</w:t>
      </w:r>
      <w:r>
        <w:rPr>
          <w:spacing w:val="-5"/>
        </w:rPr>
        <w:t> </w:t>
      </w:r>
      <w:r>
        <w:rPr/>
        <w:t>(the</w:t>
      </w:r>
      <w:r>
        <w:rPr>
          <w:spacing w:val="-5"/>
        </w:rPr>
        <w:t> </w:t>
      </w:r>
      <w:r>
        <w:rPr/>
        <w:t>"Company",</w:t>
      </w:r>
      <w:r>
        <w:rPr>
          <w:spacing w:val="-5"/>
        </w:rPr>
        <w:t> </w:t>
      </w:r>
      <w:r>
        <w:rPr/>
        <w:t>"ELS"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"we",</w:t>
      </w:r>
      <w:r>
        <w:rPr>
          <w:spacing w:val="-4"/>
        </w:rPr>
        <w:t> </w:t>
      </w:r>
      <w:r>
        <w:rPr/>
        <w:t>"us",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"our"),</w:t>
      </w:r>
      <w:r>
        <w:rPr>
          <w:spacing w:val="1"/>
        </w:rPr>
        <w:t> </w:t>
      </w:r>
      <w:r>
        <w:rPr>
          <w:spacing w:val="-1"/>
        </w:rPr>
        <w:t>which will be held </w:t>
      </w:r>
      <w:r>
        <w:rPr/>
        <w:t>on Tuesday, April 26, 2022, at 9:00 a.m. Central Time. The Annual Meeting will be a virtual</w:t>
      </w:r>
      <w:r>
        <w:rPr>
          <w:spacing w:val="1"/>
        </w:rPr>
        <w:t> </w:t>
      </w:r>
      <w:r>
        <w:rPr>
          <w:spacing w:val="-1"/>
        </w:rPr>
        <w:t>meeting held over the Internet. You </w:t>
      </w:r>
      <w:r>
        <w:rPr/>
        <w:t>will be able to attend the Annual Meeting, vote your shares electronically and</w:t>
      </w:r>
      <w:r>
        <w:rPr>
          <w:spacing w:val="1"/>
        </w:rPr>
        <w:t> </w:t>
      </w:r>
      <w:r>
        <w:rPr/>
        <w:t>submit your questions during the live webcast of the meeting by visiting </w:t>
      </w:r>
      <w:hyperlink r:id="rId11">
        <w:r>
          <w:rPr>
            <w:i/>
          </w:rPr>
          <w:t>www.virtualshareholdermeeting.com/</w:t>
        </w:r>
      </w:hyperlink>
      <w:r>
        <w:rPr>
          <w:i/>
          <w:spacing w:val="1"/>
        </w:rPr>
        <w:t> </w:t>
      </w:r>
      <w:r>
        <w:rPr>
          <w:i/>
        </w:rPr>
        <w:t>ELS2022 </w:t>
      </w:r>
      <w:r>
        <w:rPr/>
        <w:t>and entering your 16-digit control number included in the notice containing instructions on how to access</w:t>
      </w:r>
      <w:r>
        <w:rPr>
          <w:spacing w:val="1"/>
        </w:rPr>
        <w:t> </w:t>
      </w:r>
      <w:r>
        <w:rPr/>
        <w:t>Annual Meeting materials, your proxy card, or the voting instructions that accompanied your proxy materials. On</w:t>
      </w:r>
      <w:r>
        <w:rPr>
          <w:spacing w:val="1"/>
        </w:rPr>
        <w:t> </w:t>
      </w:r>
      <w:r>
        <w:rPr/>
        <w:t>March</w:t>
      </w:r>
      <w:r>
        <w:rPr>
          <w:spacing w:val="-4"/>
        </w:rPr>
        <w:t> </w:t>
      </w:r>
      <w:r>
        <w:rPr/>
        <w:t>17,</w:t>
      </w:r>
      <w:r>
        <w:rPr>
          <w:spacing w:val="-4"/>
        </w:rPr>
        <w:t> </w:t>
      </w:r>
      <w:r>
        <w:rPr/>
        <w:t>2022,</w:t>
      </w:r>
      <w:r>
        <w:rPr>
          <w:spacing w:val="-3"/>
        </w:rPr>
        <w:t> </w:t>
      </w:r>
      <w:r>
        <w:rPr/>
        <w:t>these</w:t>
      </w:r>
      <w:r>
        <w:rPr>
          <w:spacing w:val="-4"/>
        </w:rPr>
        <w:t> </w:t>
      </w:r>
      <w:r>
        <w:rPr/>
        <w:t>proxy</w:t>
      </w:r>
      <w:r>
        <w:rPr>
          <w:spacing w:val="-3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/>
        <w:t>annual</w:t>
      </w:r>
      <w:r>
        <w:rPr>
          <w:spacing w:val="-4"/>
        </w:rPr>
        <w:t> </w:t>
      </w:r>
      <w:r>
        <w:rPr/>
        <w:t>report</w:t>
      </w:r>
      <w:r>
        <w:rPr>
          <w:spacing w:val="-3"/>
        </w:rPr>
        <w:t> </w:t>
      </w:r>
      <w:r>
        <w:rPr/>
        <w:t>are</w:t>
      </w:r>
      <w:r>
        <w:rPr>
          <w:spacing w:val="-4"/>
        </w:rPr>
        <w:t> </w:t>
      </w:r>
      <w:r>
        <w:rPr/>
        <w:t>being</w:t>
      </w:r>
      <w:r>
        <w:rPr>
          <w:spacing w:val="-4"/>
        </w:rPr>
        <w:t> </w:t>
      </w:r>
      <w:r>
        <w:rPr/>
        <w:t>mailed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made</w:t>
      </w:r>
      <w:r>
        <w:rPr>
          <w:spacing w:val="-3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stockholders.</w:t>
      </w:r>
    </w:p>
    <w:p>
      <w:pPr>
        <w:pStyle w:val="BodyText"/>
        <w:spacing w:before="8"/>
      </w:pPr>
    </w:p>
    <w:p>
      <w:pPr>
        <w:pStyle w:val="Heading1"/>
        <w:spacing w:before="0"/>
      </w:pPr>
      <w:r>
        <w:rPr>
          <w:color w:val="00539E"/>
        </w:rPr>
        <w:t>PROXY</w:t>
      </w:r>
      <w:r>
        <w:rPr>
          <w:color w:val="00539E"/>
          <w:spacing w:val="-2"/>
        </w:rPr>
        <w:t> </w:t>
      </w:r>
      <w:r>
        <w:rPr>
          <w:color w:val="00539E"/>
        </w:rPr>
        <w:t>STATEMENT</w:t>
      </w:r>
      <w:r>
        <w:rPr>
          <w:color w:val="00539E"/>
          <w:spacing w:val="-2"/>
        </w:rPr>
        <w:t> </w:t>
      </w:r>
      <w:r>
        <w:rPr>
          <w:color w:val="00539E"/>
        </w:rPr>
        <w:t>SUMMARY</w:t>
      </w:r>
    </w:p>
    <w:p>
      <w:pPr>
        <w:pStyle w:val="BodyText"/>
        <w:spacing w:line="249" w:lineRule="auto" w:before="121"/>
        <w:ind w:left="250"/>
      </w:pPr>
      <w:r>
        <w:rPr/>
        <w:t>The following pages provide a summary of important information you will find in this Proxy Statement. As it is only a</w:t>
      </w:r>
      <w:r>
        <w:rPr>
          <w:spacing w:val="-53"/>
        </w:rPr>
        <w:t> </w:t>
      </w:r>
      <w:r>
        <w:rPr/>
        <w:t>summary,</w:t>
      </w:r>
      <w:r>
        <w:rPr>
          <w:spacing w:val="-2"/>
        </w:rPr>
        <w:t> </w:t>
      </w:r>
      <w:r>
        <w:rPr/>
        <w:t>please</w:t>
      </w:r>
      <w:r>
        <w:rPr>
          <w:spacing w:val="-2"/>
        </w:rPr>
        <w:t> </w:t>
      </w:r>
      <w:r>
        <w:rPr/>
        <w:t>review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complete</w:t>
      </w:r>
      <w:r>
        <w:rPr>
          <w:spacing w:val="-2"/>
        </w:rPr>
        <w:t> </w:t>
      </w:r>
      <w:r>
        <w:rPr/>
        <w:t>Proxy</w:t>
      </w:r>
      <w:r>
        <w:rPr>
          <w:spacing w:val="-2"/>
        </w:rPr>
        <w:t> </w:t>
      </w:r>
      <w:r>
        <w:rPr/>
        <w:t>Statement</w:t>
      </w:r>
      <w:r>
        <w:rPr>
          <w:spacing w:val="-2"/>
        </w:rPr>
        <w:t> </w:t>
      </w:r>
      <w:r>
        <w:rPr/>
        <w:t>before</w:t>
      </w:r>
      <w:r>
        <w:rPr>
          <w:spacing w:val="-2"/>
        </w:rPr>
        <w:t> </w:t>
      </w:r>
      <w:r>
        <w:rPr/>
        <w:t>submitting</w:t>
      </w:r>
      <w:r>
        <w:rPr>
          <w:spacing w:val="-2"/>
        </w:rPr>
        <w:t> </w:t>
      </w:r>
      <w:r>
        <w:rPr/>
        <w:t>your</w:t>
      </w:r>
      <w:r>
        <w:rPr>
          <w:spacing w:val="-1"/>
        </w:rPr>
        <w:t> </w:t>
      </w:r>
      <w:r>
        <w:rPr/>
        <w:t>vote.</w:t>
      </w:r>
    </w:p>
    <w:p>
      <w:pPr>
        <w:pStyle w:val="BodyText"/>
        <w:spacing w:before="3"/>
      </w:pPr>
    </w:p>
    <w:p>
      <w:pPr>
        <w:pStyle w:val="Heading2"/>
      </w:pPr>
      <w:r>
        <w:rPr>
          <w:color w:val="00539E"/>
        </w:rPr>
        <w:t>Summary</w:t>
      </w:r>
      <w:r>
        <w:rPr>
          <w:color w:val="00539E"/>
          <w:spacing w:val="-2"/>
        </w:rPr>
        <w:t> </w:t>
      </w:r>
      <w:r>
        <w:rPr>
          <w:color w:val="00539E"/>
        </w:rPr>
        <w:t>of</w:t>
      </w:r>
      <w:r>
        <w:rPr>
          <w:color w:val="00539E"/>
          <w:spacing w:val="-2"/>
        </w:rPr>
        <w:t> </w:t>
      </w:r>
      <w:r>
        <w:rPr>
          <w:color w:val="00539E"/>
        </w:rPr>
        <w:t>Matters</w:t>
      </w:r>
      <w:r>
        <w:rPr>
          <w:color w:val="00539E"/>
          <w:spacing w:val="-1"/>
        </w:rPr>
        <w:t> </w:t>
      </w:r>
      <w:r>
        <w:rPr>
          <w:color w:val="00539E"/>
        </w:rPr>
        <w:t>for</w:t>
      </w:r>
      <w:r>
        <w:rPr>
          <w:color w:val="00539E"/>
          <w:spacing w:val="-2"/>
        </w:rPr>
        <w:t> </w:t>
      </w:r>
      <w:r>
        <w:rPr>
          <w:color w:val="00539E"/>
        </w:rPr>
        <w:t>Stockholder</w:t>
      </w:r>
      <w:r>
        <w:rPr>
          <w:color w:val="00539E"/>
          <w:spacing w:val="-2"/>
        </w:rPr>
        <w:t> </w:t>
      </w:r>
      <w:r>
        <w:rPr>
          <w:color w:val="00539E"/>
        </w:rPr>
        <w:t>Voting</w:t>
      </w:r>
    </w:p>
    <w:p>
      <w:pPr>
        <w:pStyle w:val="BodyText"/>
        <w:spacing w:before="1" w:after="1"/>
        <w:rPr>
          <w:b/>
          <w:sz w:val="14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0"/>
        <w:gridCol w:w="5506"/>
        <w:gridCol w:w="3592"/>
      </w:tblGrid>
      <w:tr>
        <w:trPr>
          <w:trHeight w:val="435" w:hRule="atLeast"/>
        </w:trPr>
        <w:tc>
          <w:tcPr>
            <w:tcW w:w="1160" w:type="dxa"/>
            <w:shd w:val="clear" w:color="auto" w:fill="00539E"/>
          </w:tcPr>
          <w:p>
            <w:pPr>
              <w:pStyle w:val="TableParagraph"/>
              <w:spacing w:line="240" w:lineRule="auto" w:before="104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Proposal</w:t>
            </w:r>
          </w:p>
        </w:tc>
        <w:tc>
          <w:tcPr>
            <w:tcW w:w="5506" w:type="dxa"/>
            <w:shd w:val="clear" w:color="auto" w:fill="00539E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592" w:type="dxa"/>
            <w:shd w:val="clear" w:color="auto" w:fill="00539E"/>
          </w:tcPr>
          <w:p>
            <w:pPr>
              <w:pStyle w:val="TableParagraph"/>
              <w:spacing w:line="240" w:lineRule="auto" w:before="104"/>
              <w:ind w:left="21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Board's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Voting</w:t>
            </w:r>
            <w:r>
              <w:rPr>
                <w:b/>
                <w:color w:val="FFFFFF"/>
                <w:spacing w:val="-8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Recommendation</w:t>
            </w:r>
          </w:p>
        </w:tc>
      </w:tr>
      <w:tr>
        <w:trPr>
          <w:trHeight w:val="305" w:hRule="atLeast"/>
        </w:trPr>
        <w:tc>
          <w:tcPr>
            <w:tcW w:w="116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exact" w:before="55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Proposal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1</w:t>
            </w:r>
          </w:p>
        </w:tc>
        <w:tc>
          <w:tcPr>
            <w:tcW w:w="550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exact" w:before="55"/>
              <w:ind w:left="152"/>
              <w:jc w:val="left"/>
              <w:rPr>
                <w:sz w:val="20"/>
              </w:rPr>
            </w:pPr>
            <w:r>
              <w:rPr>
                <w:sz w:val="20"/>
              </w:rPr>
              <w:t>Election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Directors</w:t>
            </w:r>
          </w:p>
        </w:tc>
        <w:tc>
          <w:tcPr>
            <w:tcW w:w="35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30" w:lineRule="exact" w:before="55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each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nominee</w:t>
            </w:r>
          </w:p>
        </w:tc>
      </w:tr>
      <w:tr>
        <w:trPr>
          <w:trHeight w:val="295" w:hRule="atLeast"/>
        </w:trPr>
        <w:tc>
          <w:tcPr>
            <w:tcW w:w="11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 w:before="45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Proposal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</w:t>
            </w:r>
          </w:p>
        </w:tc>
        <w:tc>
          <w:tcPr>
            <w:tcW w:w="55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 w:before="45"/>
              <w:ind w:left="152"/>
              <w:jc w:val="left"/>
              <w:rPr>
                <w:sz w:val="20"/>
              </w:rPr>
            </w:pPr>
            <w:r>
              <w:rPr>
                <w:spacing w:val="-1"/>
                <w:sz w:val="20"/>
              </w:rPr>
              <w:t>Ratification of the</w:t>
            </w:r>
            <w:r>
              <w:rPr>
                <w:spacing w:val="-12"/>
                <w:sz w:val="20"/>
              </w:rPr>
              <w:t> </w:t>
            </w:r>
            <w:r>
              <w:rPr>
                <w:spacing w:val="-1"/>
                <w:sz w:val="20"/>
              </w:rPr>
              <w:t>Appointment of Independent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Accountant</w:t>
            </w:r>
          </w:p>
        </w:tc>
        <w:tc>
          <w:tcPr>
            <w:tcW w:w="35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 w:before="45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FOR</w:t>
            </w:r>
          </w:p>
        </w:tc>
      </w:tr>
      <w:tr>
        <w:trPr>
          <w:trHeight w:val="295" w:hRule="atLeast"/>
        </w:trPr>
        <w:tc>
          <w:tcPr>
            <w:tcW w:w="116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 w:before="45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Proposal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3</w:t>
            </w:r>
          </w:p>
        </w:tc>
        <w:tc>
          <w:tcPr>
            <w:tcW w:w="550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 w:before="45"/>
              <w:ind w:left="152"/>
              <w:jc w:val="left"/>
              <w:rPr>
                <w:sz w:val="20"/>
              </w:rPr>
            </w:pPr>
            <w:r>
              <w:rPr>
                <w:sz w:val="20"/>
              </w:rPr>
              <w:t>Advisory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Vote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Executive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Compensation</w:t>
            </w:r>
          </w:p>
        </w:tc>
        <w:tc>
          <w:tcPr>
            <w:tcW w:w="35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30" w:lineRule="exact" w:before="45"/>
              <w:ind w:left="211"/>
              <w:jc w:val="left"/>
              <w:rPr>
                <w:sz w:val="20"/>
              </w:rPr>
            </w:pPr>
            <w:r>
              <w:rPr>
                <w:sz w:val="20"/>
              </w:rPr>
              <w:t>FOR</w:t>
            </w:r>
          </w:p>
        </w:tc>
      </w:tr>
    </w:tbl>
    <w:p>
      <w:pPr>
        <w:pStyle w:val="BodyText"/>
        <w:spacing w:line="208" w:lineRule="auto" w:before="79"/>
        <w:ind w:left="302"/>
      </w:pPr>
      <w:r>
        <w:rPr>
          <w:spacing w:val="-1"/>
        </w:rPr>
        <w:t>Stockholders will consider any other </w:t>
      </w:r>
      <w:r>
        <w:rPr/>
        <w:t>business properly brought before the Annual Meeting or any adjournments or</w:t>
      </w:r>
      <w:r>
        <w:rPr>
          <w:spacing w:val="-53"/>
        </w:rPr>
        <w:t> </w:t>
      </w:r>
      <w:r>
        <w:rPr/>
        <w:t>postponements</w:t>
      </w:r>
      <w:r>
        <w:rPr>
          <w:spacing w:val="-2"/>
        </w:rPr>
        <w:t> </w:t>
      </w:r>
      <w:r>
        <w:rPr/>
        <w:t>thereof.</w:t>
      </w:r>
    </w:p>
    <w:p>
      <w:pPr>
        <w:pStyle w:val="BodyText"/>
        <w:spacing w:before="10"/>
      </w:pPr>
    </w:p>
    <w:p>
      <w:pPr>
        <w:spacing w:before="94"/>
        <w:ind w:left="60" w:right="98" w:firstLine="0"/>
        <w:jc w:val="center"/>
        <w:rPr>
          <w:b/>
          <w:sz w:val="20"/>
        </w:rPr>
      </w:pPr>
      <w:r>
        <w:rPr>
          <w:b/>
          <w:sz w:val="20"/>
        </w:rPr>
        <w:t>Unless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directions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are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forth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proxy,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representatives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holding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proxies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will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vote</w:t>
      </w:r>
    </w:p>
    <w:p>
      <w:pPr>
        <w:spacing w:before="10"/>
        <w:ind w:left="113" w:right="98" w:firstLine="0"/>
        <w:jc w:val="center"/>
        <w:rPr>
          <w:b/>
          <w:sz w:val="20"/>
        </w:rPr>
      </w:pPr>
      <w:r>
        <w:rPr>
          <w:b/>
          <w:sz w:val="20"/>
        </w:rPr>
        <w:t>as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recommended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Board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Directors,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recommendation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given,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their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own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discretion.</w:t>
      </w:r>
    </w:p>
    <w:p>
      <w:pPr>
        <w:pStyle w:val="BodyText"/>
        <w:spacing w:before="11"/>
        <w:rPr>
          <w:b/>
        </w:rPr>
      </w:pPr>
    </w:p>
    <w:p>
      <w:pPr>
        <w:pStyle w:val="Heading2"/>
      </w:pPr>
      <w:r>
        <w:rPr>
          <w:color w:val="00539E"/>
        </w:rPr>
        <w:t>About</w:t>
      </w:r>
      <w:r>
        <w:rPr>
          <w:color w:val="00539E"/>
          <w:spacing w:val="-2"/>
        </w:rPr>
        <w:t> </w:t>
      </w:r>
      <w:r>
        <w:rPr>
          <w:color w:val="00539E"/>
        </w:rPr>
        <w:t>Equity</w:t>
      </w:r>
      <w:r>
        <w:rPr>
          <w:color w:val="00539E"/>
          <w:spacing w:val="-2"/>
        </w:rPr>
        <w:t> </w:t>
      </w:r>
      <w:r>
        <w:rPr>
          <w:color w:val="00539E"/>
        </w:rPr>
        <w:t>LifeStyle</w:t>
      </w:r>
      <w:r>
        <w:rPr>
          <w:color w:val="00539E"/>
          <w:spacing w:val="-1"/>
        </w:rPr>
        <w:t> </w:t>
      </w:r>
      <w:r>
        <w:rPr>
          <w:color w:val="00539E"/>
        </w:rPr>
        <w:t>Properties</w:t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spacing w:line="249" w:lineRule="auto" w:before="1"/>
        <w:ind w:left="250" w:right="608"/>
      </w:pPr>
      <w:r>
        <w:rPr/>
        <w:t>Equity LifeStyle Properties is a fully integrated owner of lifestyle-oriented properties consisting of property</w:t>
      </w:r>
      <w:r>
        <w:rPr>
          <w:spacing w:val="1"/>
        </w:rPr>
        <w:t> </w:t>
      </w:r>
      <w:r>
        <w:rPr/>
        <w:t>operations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home</w:t>
      </w:r>
      <w:r>
        <w:rPr>
          <w:spacing w:val="-5"/>
        </w:rPr>
        <w:t> </w:t>
      </w:r>
      <w:r>
        <w:rPr/>
        <w:t>sales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rental</w:t>
      </w:r>
      <w:r>
        <w:rPr>
          <w:spacing w:val="-5"/>
        </w:rPr>
        <w:t> </w:t>
      </w:r>
      <w:r>
        <w:rPr/>
        <w:t>operations</w:t>
      </w:r>
      <w:r>
        <w:rPr>
          <w:spacing w:val="-6"/>
        </w:rPr>
        <w:t> </w:t>
      </w:r>
      <w:r>
        <w:rPr/>
        <w:t>primarily</w:t>
      </w:r>
      <w:r>
        <w:rPr>
          <w:spacing w:val="-5"/>
        </w:rPr>
        <w:t> </w:t>
      </w:r>
      <w:r>
        <w:rPr/>
        <w:t>within</w:t>
      </w:r>
      <w:r>
        <w:rPr>
          <w:spacing w:val="-5"/>
        </w:rPr>
        <w:t> </w:t>
      </w:r>
      <w:r>
        <w:rPr/>
        <w:t>manufactured</w:t>
      </w:r>
      <w:r>
        <w:rPr>
          <w:spacing w:val="-6"/>
        </w:rPr>
        <w:t> </w:t>
      </w:r>
      <w:r>
        <w:rPr/>
        <w:t>home</w:t>
      </w:r>
      <w:r>
        <w:rPr>
          <w:spacing w:val="-5"/>
        </w:rPr>
        <w:t> </w:t>
      </w:r>
      <w:r>
        <w:rPr/>
        <w:t>("MH")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recreational</w:t>
      </w:r>
      <w:r>
        <w:rPr>
          <w:spacing w:val="1"/>
        </w:rPr>
        <w:t> </w:t>
      </w:r>
      <w:r>
        <w:rPr/>
        <w:t>vehicle</w:t>
      </w:r>
      <w:r>
        <w:rPr>
          <w:spacing w:val="-2"/>
        </w:rPr>
        <w:t> </w:t>
      </w:r>
      <w:r>
        <w:rPr/>
        <w:t>("RV")</w:t>
      </w:r>
      <w:r>
        <w:rPr>
          <w:spacing w:val="-1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marinas.</w:t>
      </w:r>
    </w:p>
    <w:p>
      <w:pPr>
        <w:pStyle w:val="BodyText"/>
      </w:pP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645066</wp:posOffset>
            </wp:positionH>
            <wp:positionV relativeFrom="paragraph">
              <wp:posOffset>131118</wp:posOffset>
            </wp:positionV>
            <wp:extent cx="6434834" cy="1392174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834" cy="1392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footerReference w:type="default" r:id="rId9"/>
          <w:pgSz w:w="12240" w:h="15840"/>
          <w:pgMar w:footer="518" w:header="0" w:top="980" w:bottom="700" w:left="740" w:right="700"/>
          <w:pgNumType w:start="1"/>
        </w:sectPr>
      </w:pPr>
    </w:p>
    <w:p>
      <w:pPr>
        <w:pStyle w:val="Heading3"/>
        <w:tabs>
          <w:tab w:pos="4293" w:val="left" w:leader="none"/>
          <w:tab w:pos="10449" w:val="left" w:leader="none"/>
        </w:tabs>
        <w:spacing w:before="67"/>
      </w:pPr>
      <w:r>
        <w:rPr>
          <w:rFonts w:ascii="Times New Roman"/>
          <w:b w:val="0"/>
          <w:color w:val="FFFFFF"/>
          <w:shd w:fill="00539E" w:color="auto" w:val="clear"/>
        </w:rPr>
        <w:t> </w:t>
        <w:tab/>
      </w:r>
      <w:r>
        <w:rPr>
          <w:color w:val="FFFFFF"/>
          <w:shd w:fill="00539E" w:color="auto" w:val="clear"/>
        </w:rPr>
        <w:t>Business</w:t>
      </w:r>
      <w:r>
        <w:rPr>
          <w:color w:val="FFFFFF"/>
          <w:spacing w:val="-5"/>
          <w:shd w:fill="00539E" w:color="auto" w:val="clear"/>
        </w:rPr>
        <w:t> </w:t>
      </w:r>
      <w:r>
        <w:rPr>
          <w:color w:val="FFFFFF"/>
          <w:shd w:fill="00539E" w:color="auto" w:val="clear"/>
        </w:rPr>
        <w:t>Highlights</w:t>
        <w:tab/>
      </w:r>
    </w:p>
    <w:p>
      <w:pPr>
        <w:pStyle w:val="BodyText"/>
        <w:spacing w:before="4"/>
        <w:rPr>
          <w:b/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696545</wp:posOffset>
            </wp:positionH>
            <wp:positionV relativeFrom="paragraph">
              <wp:posOffset>185787</wp:posOffset>
            </wp:positionV>
            <wp:extent cx="6446701" cy="2011679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701" cy="2011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969" w:val="left" w:leader="none"/>
        </w:tabs>
        <w:spacing w:line="249" w:lineRule="auto" w:before="97"/>
        <w:ind w:left="970" w:right="608" w:hanging="360"/>
        <w:jc w:val="left"/>
        <w:rPr>
          <w:sz w:val="16"/>
        </w:rPr>
      </w:pPr>
      <w:r>
        <w:rPr>
          <w:sz w:val="16"/>
          <w:vertAlign w:val="superscript"/>
        </w:rPr>
        <w:t>(1)</w:t>
      </w:r>
      <w:r>
        <w:rPr>
          <w:sz w:val="16"/>
          <w:vertAlign w:val="baseline"/>
        </w:rPr>
        <w:tab/>
        <w:t>Total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stockholder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return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("TSR")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calculated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based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stock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price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appreciation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dividends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paid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show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return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stockholder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over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period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time.</w:t>
      </w:r>
      <w:r>
        <w:rPr>
          <w:spacing w:val="38"/>
          <w:sz w:val="16"/>
          <w:vertAlign w:val="baseline"/>
        </w:rPr>
        <w:t> </w:t>
      </w:r>
      <w:r>
        <w:rPr>
          <w:sz w:val="16"/>
          <w:vertAlign w:val="baseline"/>
        </w:rPr>
        <w:t>TSR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assumes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dividends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are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reinvested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Common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Stock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day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dividend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paid.</w:t>
      </w:r>
    </w:p>
    <w:p>
      <w:pPr>
        <w:tabs>
          <w:tab w:pos="969" w:val="left" w:leader="none"/>
        </w:tabs>
        <w:spacing w:line="249" w:lineRule="auto" w:before="1"/>
        <w:ind w:left="970" w:right="376" w:hanging="360"/>
        <w:jc w:val="left"/>
        <w:rPr>
          <w:sz w:val="16"/>
        </w:rPr>
      </w:pPr>
      <w:r>
        <w:rPr>
          <w:sz w:val="16"/>
          <w:vertAlign w:val="superscript"/>
        </w:rPr>
        <w:t>(2)</w:t>
      </w:r>
      <w:r>
        <w:rPr>
          <w:sz w:val="16"/>
          <w:vertAlign w:val="baseline"/>
        </w:rPr>
        <w:tab/>
        <w:t>Adjusted for the two-for-one stock split effected on October 15, 2019. All disclosures in this Proxy Statement with respect to shares or</w:t>
      </w:r>
      <w:r>
        <w:rPr>
          <w:spacing w:val="-42"/>
          <w:sz w:val="16"/>
          <w:vertAlign w:val="baseline"/>
        </w:rPr>
        <w:t> </w:t>
      </w:r>
      <w:r>
        <w:rPr>
          <w:sz w:val="16"/>
          <w:vertAlign w:val="baseline"/>
        </w:rPr>
        <w:t>share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price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information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have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been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adjusted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for this stock split.</w:t>
      </w:r>
    </w:p>
    <w:p>
      <w:pPr>
        <w:tabs>
          <w:tab w:pos="969" w:val="left" w:leader="none"/>
        </w:tabs>
        <w:spacing w:line="249" w:lineRule="auto" w:before="1"/>
        <w:ind w:left="970" w:right="770" w:hanging="360"/>
        <w:jc w:val="left"/>
        <w:rPr>
          <w:sz w:val="16"/>
        </w:rPr>
      </w:pPr>
      <w:r>
        <w:rPr>
          <w:sz w:val="16"/>
          <w:vertAlign w:val="superscript"/>
        </w:rPr>
        <w:t>(3)</w:t>
      </w:r>
      <w:r>
        <w:rPr>
          <w:sz w:val="16"/>
          <w:vertAlign w:val="baseline"/>
        </w:rPr>
        <w:tab/>
        <w:t>Normalized Funds From Operations ("Normalized FFO") is a non-GAAP measure. See Appendix A to this Proxy Statement for a</w:t>
      </w:r>
      <w:r>
        <w:rPr>
          <w:spacing w:val="-42"/>
          <w:sz w:val="16"/>
          <w:vertAlign w:val="baseline"/>
        </w:rPr>
        <w:t> </w:t>
      </w:r>
      <w:r>
        <w:rPr>
          <w:sz w:val="16"/>
          <w:vertAlign w:val="baseline"/>
        </w:rPr>
        <w:t>discussion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reconciliation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most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directly comparable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GAAP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measure.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94" w:after="0"/>
        <w:ind w:left="2762" w:right="407" w:hanging="360"/>
        <w:jc w:val="left"/>
        <w:rPr>
          <w:sz w:val="18"/>
        </w:rPr>
      </w:pPr>
      <w:r>
        <w:rPr/>
        <w:pict>
          <v:shape style="position:absolute;margin-left:49.5pt;margin-top:-12.818097pt;width:105pt;height:407.25pt;mso-position-horizontal-relative:page;mso-position-vertical-relative:paragraph;z-index:15735296" type="#_x0000_t202" id="docshape9" filled="true" fillcolor="#00539e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color w:val="000000"/>
                      <w:sz w:val="27"/>
                    </w:rPr>
                  </w:pPr>
                </w:p>
                <w:p>
                  <w:pPr>
                    <w:spacing w:line="215" w:lineRule="exact" w:before="0"/>
                    <w:ind w:left="65" w:right="65" w:firstLine="0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2021</w:t>
                  </w:r>
                </w:p>
                <w:p>
                  <w:pPr>
                    <w:spacing w:line="215" w:lineRule="exact" w:before="0"/>
                    <w:ind w:left="65" w:right="65" w:firstLine="0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Accomplishments</w:t>
                  </w:r>
                  <w:r>
                    <w:rPr>
                      <w:b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b/>
                      <w:color w:val="FFFFFF"/>
                      <w:sz w:val="20"/>
                      <w:vertAlign w:val="superscript"/>
                    </w:rPr>
                    <w:t>(1)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18"/>
        </w:rPr>
        <w:t>Normalized FFO per common share on a fully diluted basis was $2.53, 17% higher than the year</w:t>
      </w:r>
      <w:r>
        <w:rPr>
          <w:spacing w:val="-48"/>
          <w:sz w:val="18"/>
        </w:rPr>
        <w:t> </w:t>
      </w:r>
      <w:r>
        <w:rPr>
          <w:sz w:val="18"/>
        </w:rPr>
        <w:t>2020.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7" w:lineRule="auto" w:before="78" w:after="0"/>
        <w:ind w:left="2762" w:right="578" w:hanging="360"/>
        <w:jc w:val="left"/>
        <w:rPr>
          <w:sz w:val="18"/>
        </w:rPr>
      </w:pPr>
      <w:r>
        <w:rPr>
          <w:sz w:val="18"/>
        </w:rPr>
        <w:t>Core</w:t>
      </w:r>
      <w:r>
        <w:rPr>
          <w:spacing w:val="-4"/>
          <w:sz w:val="18"/>
        </w:rPr>
        <w:t> </w:t>
      </w:r>
      <w:r>
        <w:rPr>
          <w:sz w:val="18"/>
        </w:rPr>
        <w:t>Portfolio</w:t>
      </w:r>
      <w:r>
        <w:rPr>
          <w:spacing w:val="-3"/>
          <w:sz w:val="18"/>
        </w:rPr>
        <w:t> </w:t>
      </w:r>
      <w:r>
        <w:rPr>
          <w:sz w:val="18"/>
        </w:rPr>
        <w:t>generated</w:t>
      </w:r>
      <w:r>
        <w:rPr>
          <w:spacing w:val="-4"/>
          <w:sz w:val="18"/>
        </w:rPr>
        <w:t> </w:t>
      </w:r>
      <w:r>
        <w:rPr>
          <w:sz w:val="18"/>
        </w:rPr>
        <w:t>growth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9%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income</w:t>
      </w:r>
      <w:r>
        <w:rPr>
          <w:spacing w:val="-4"/>
          <w:sz w:val="18"/>
        </w:rPr>
        <w:t> </w:t>
      </w:r>
      <w:r>
        <w:rPr>
          <w:sz w:val="18"/>
        </w:rPr>
        <w:t>from</w:t>
      </w:r>
      <w:r>
        <w:rPr>
          <w:spacing w:val="-3"/>
          <w:sz w:val="18"/>
        </w:rPr>
        <w:t> </w:t>
      </w:r>
      <w:r>
        <w:rPr>
          <w:sz w:val="18"/>
        </w:rPr>
        <w:t>property</w:t>
      </w:r>
      <w:r>
        <w:rPr>
          <w:spacing w:val="-4"/>
          <w:sz w:val="18"/>
        </w:rPr>
        <w:t> </w:t>
      </w:r>
      <w:r>
        <w:rPr>
          <w:sz w:val="18"/>
        </w:rPr>
        <w:t>operations,</w:t>
      </w:r>
      <w:r>
        <w:rPr>
          <w:spacing w:val="-3"/>
          <w:sz w:val="18"/>
        </w:rPr>
        <w:t> </w:t>
      </w:r>
      <w:r>
        <w:rPr>
          <w:sz w:val="18"/>
        </w:rPr>
        <w:t>excluding</w:t>
      </w:r>
      <w:r>
        <w:rPr>
          <w:spacing w:val="-3"/>
          <w:sz w:val="18"/>
        </w:rPr>
        <w:t> </w:t>
      </w:r>
      <w:r>
        <w:rPr>
          <w:sz w:val="18"/>
        </w:rPr>
        <w:t>deferrals</w:t>
      </w:r>
      <w:r>
        <w:rPr>
          <w:spacing w:val="-47"/>
          <w:sz w:val="18"/>
        </w:rPr>
        <w:t> </w:t>
      </w:r>
      <w:r>
        <w:rPr>
          <w:sz w:val="18"/>
        </w:rPr>
        <w:t>and property management compared to 2020.</w:t>
      </w:r>
      <w:r>
        <w:rPr>
          <w:spacing w:val="1"/>
          <w:sz w:val="18"/>
        </w:rPr>
        <w:t> </w:t>
      </w:r>
      <w:r>
        <w:rPr>
          <w:sz w:val="18"/>
        </w:rPr>
        <w:t>Our Core Portfolio includes all properties</w:t>
      </w:r>
      <w:r>
        <w:rPr>
          <w:spacing w:val="1"/>
          <w:sz w:val="18"/>
        </w:rPr>
        <w:t> </w:t>
      </w:r>
      <w:r>
        <w:rPr>
          <w:sz w:val="18"/>
        </w:rPr>
        <w:t>acquired prior to December 31, 2019 that we have owned and operated continuously since</w:t>
      </w:r>
      <w:r>
        <w:rPr>
          <w:spacing w:val="1"/>
          <w:sz w:val="18"/>
        </w:rPr>
        <w:t> </w:t>
      </w:r>
      <w:r>
        <w:rPr>
          <w:sz w:val="18"/>
        </w:rPr>
        <w:t>January</w:t>
      </w:r>
      <w:r>
        <w:rPr>
          <w:spacing w:val="-1"/>
          <w:sz w:val="18"/>
        </w:rPr>
        <w:t> </w:t>
      </w:r>
      <w:r>
        <w:rPr>
          <w:sz w:val="18"/>
        </w:rPr>
        <w:t>1, 2020.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71" w:after="0"/>
        <w:ind w:left="2716" w:right="0" w:hanging="315"/>
        <w:jc w:val="left"/>
        <w:rPr>
          <w:sz w:val="18"/>
        </w:rPr>
      </w:pPr>
      <w:r>
        <w:rPr>
          <w:sz w:val="18"/>
        </w:rPr>
        <w:t>MH</w:t>
      </w:r>
      <w:r>
        <w:rPr>
          <w:spacing w:val="-4"/>
          <w:sz w:val="18"/>
        </w:rPr>
        <w:t> </w:t>
      </w:r>
      <w:r>
        <w:rPr>
          <w:sz w:val="18"/>
        </w:rPr>
        <w:t>occupancy</w:t>
      </w:r>
      <w:r>
        <w:rPr>
          <w:spacing w:val="-3"/>
          <w:sz w:val="18"/>
        </w:rPr>
        <w:t> </w:t>
      </w:r>
      <w:r>
        <w:rPr>
          <w:sz w:val="18"/>
        </w:rPr>
        <w:t>within</w:t>
      </w:r>
      <w:r>
        <w:rPr>
          <w:spacing w:val="-3"/>
          <w:sz w:val="18"/>
        </w:rPr>
        <w:t> </w:t>
      </w:r>
      <w:r>
        <w:rPr>
          <w:sz w:val="18"/>
        </w:rPr>
        <w:t>our</w:t>
      </w:r>
      <w:r>
        <w:rPr>
          <w:spacing w:val="-4"/>
          <w:sz w:val="18"/>
        </w:rPr>
        <w:t> </w:t>
      </w:r>
      <w:r>
        <w:rPr>
          <w:sz w:val="18"/>
        </w:rPr>
        <w:t>Core</w:t>
      </w:r>
      <w:r>
        <w:rPr>
          <w:spacing w:val="-3"/>
          <w:sz w:val="18"/>
        </w:rPr>
        <w:t> </w:t>
      </w:r>
      <w:r>
        <w:rPr>
          <w:sz w:val="18"/>
        </w:rPr>
        <w:t>Portfolio</w:t>
      </w:r>
      <w:r>
        <w:rPr>
          <w:spacing w:val="-3"/>
          <w:sz w:val="18"/>
        </w:rPr>
        <w:t> </w:t>
      </w:r>
      <w:r>
        <w:rPr>
          <w:sz w:val="18"/>
        </w:rPr>
        <w:t>increased</w:t>
      </w:r>
      <w:r>
        <w:rPr>
          <w:spacing w:val="-4"/>
          <w:sz w:val="18"/>
        </w:rPr>
        <w:t> </w:t>
      </w:r>
      <w:r>
        <w:rPr>
          <w:sz w:val="18"/>
        </w:rPr>
        <w:t>by</w:t>
      </w:r>
      <w:r>
        <w:rPr>
          <w:spacing w:val="-3"/>
          <w:sz w:val="18"/>
        </w:rPr>
        <w:t> </w:t>
      </w:r>
      <w:r>
        <w:rPr>
          <w:sz w:val="18"/>
        </w:rPr>
        <w:t>323</w:t>
      </w:r>
      <w:r>
        <w:rPr>
          <w:spacing w:val="-3"/>
          <w:sz w:val="18"/>
        </w:rPr>
        <w:t> </w:t>
      </w:r>
      <w:r>
        <w:rPr>
          <w:sz w:val="18"/>
        </w:rPr>
        <w:t>Sites</w:t>
      </w:r>
      <w:r>
        <w:rPr>
          <w:spacing w:val="-4"/>
          <w:sz w:val="18"/>
        </w:rPr>
        <w:t> </w:t>
      </w:r>
      <w:r>
        <w:rPr>
          <w:sz w:val="18"/>
        </w:rPr>
        <w:t>during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3"/>
          <w:sz w:val="18"/>
        </w:rPr>
        <w:t> </w:t>
      </w:r>
      <w:r>
        <w:rPr>
          <w:sz w:val="18"/>
        </w:rPr>
        <w:t>year.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69" w:after="0"/>
        <w:ind w:left="2716" w:right="0" w:hanging="315"/>
        <w:jc w:val="left"/>
        <w:rPr>
          <w:sz w:val="18"/>
        </w:rPr>
      </w:pPr>
      <w:r>
        <w:rPr>
          <w:sz w:val="18"/>
        </w:rPr>
        <w:t>Manufactured</w:t>
      </w:r>
      <w:r>
        <w:rPr>
          <w:spacing w:val="-4"/>
          <w:sz w:val="18"/>
        </w:rPr>
        <w:t> </w:t>
      </w:r>
      <w:r>
        <w:rPr>
          <w:sz w:val="18"/>
        </w:rPr>
        <w:t>homeowners</w:t>
      </w:r>
      <w:r>
        <w:rPr>
          <w:spacing w:val="-3"/>
          <w:sz w:val="18"/>
        </w:rPr>
        <w:t> </w:t>
      </w:r>
      <w:r>
        <w:rPr>
          <w:sz w:val="18"/>
        </w:rPr>
        <w:t>within</w:t>
      </w:r>
      <w:r>
        <w:rPr>
          <w:spacing w:val="-4"/>
          <w:sz w:val="18"/>
        </w:rPr>
        <w:t> </w:t>
      </w:r>
      <w:r>
        <w:rPr>
          <w:sz w:val="18"/>
        </w:rPr>
        <w:t>our</w:t>
      </w:r>
      <w:r>
        <w:rPr>
          <w:spacing w:val="-3"/>
          <w:sz w:val="18"/>
        </w:rPr>
        <w:t> </w:t>
      </w:r>
      <w:r>
        <w:rPr>
          <w:sz w:val="18"/>
        </w:rPr>
        <w:t>Core</w:t>
      </w:r>
      <w:r>
        <w:rPr>
          <w:spacing w:val="-3"/>
          <w:sz w:val="18"/>
        </w:rPr>
        <w:t> </w:t>
      </w:r>
      <w:r>
        <w:rPr>
          <w:sz w:val="18"/>
        </w:rPr>
        <w:t>Portfolio</w:t>
      </w:r>
      <w:r>
        <w:rPr>
          <w:spacing w:val="-4"/>
          <w:sz w:val="18"/>
        </w:rPr>
        <w:t> </w:t>
      </w:r>
      <w:r>
        <w:rPr>
          <w:sz w:val="18"/>
        </w:rPr>
        <w:t>increased</w:t>
      </w:r>
      <w:r>
        <w:rPr>
          <w:spacing w:val="-3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785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3"/>
          <w:sz w:val="18"/>
        </w:rPr>
        <w:t> </w:t>
      </w:r>
      <w:r>
        <w:rPr>
          <w:sz w:val="18"/>
        </w:rPr>
        <w:t>2021.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70" w:after="0"/>
        <w:ind w:left="2762" w:right="738" w:hanging="360"/>
        <w:jc w:val="left"/>
        <w:rPr>
          <w:sz w:val="18"/>
        </w:rPr>
      </w:pPr>
      <w:r>
        <w:rPr>
          <w:spacing w:val="-1"/>
          <w:sz w:val="18"/>
        </w:rPr>
        <w:t>RV Annual occupancy within our Core RV </w:t>
      </w:r>
      <w:r>
        <w:rPr>
          <w:sz w:val="18"/>
        </w:rPr>
        <w:t>and Thousand Trails portfolios increased by 1,180</w:t>
      </w:r>
      <w:r>
        <w:rPr>
          <w:spacing w:val="-47"/>
          <w:sz w:val="18"/>
        </w:rPr>
        <w:t> </w:t>
      </w:r>
      <w:r>
        <w:rPr>
          <w:sz w:val="18"/>
        </w:rPr>
        <w:t>sites</w:t>
      </w:r>
      <w:r>
        <w:rPr>
          <w:spacing w:val="-1"/>
          <w:sz w:val="18"/>
        </w:rPr>
        <w:t> </w:t>
      </w:r>
      <w:r>
        <w:rPr>
          <w:sz w:val="18"/>
        </w:rPr>
        <w:t>during the year.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78" w:after="0"/>
        <w:ind w:left="2762" w:right="524" w:hanging="360"/>
        <w:jc w:val="left"/>
        <w:rPr>
          <w:sz w:val="18"/>
        </w:rPr>
      </w:pPr>
      <w:r>
        <w:rPr>
          <w:sz w:val="18"/>
        </w:rPr>
        <w:t>RV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MH</w:t>
      </w:r>
      <w:r>
        <w:rPr>
          <w:spacing w:val="-4"/>
          <w:sz w:val="18"/>
        </w:rPr>
        <w:t> </w:t>
      </w:r>
      <w:r>
        <w:rPr>
          <w:sz w:val="18"/>
        </w:rPr>
        <w:t>rental</w:t>
      </w:r>
      <w:r>
        <w:rPr>
          <w:spacing w:val="-4"/>
          <w:sz w:val="18"/>
        </w:rPr>
        <w:t> </w:t>
      </w:r>
      <w:r>
        <w:rPr>
          <w:sz w:val="18"/>
        </w:rPr>
        <w:t>income</w:t>
      </w:r>
      <w:r>
        <w:rPr>
          <w:spacing w:val="-4"/>
          <w:sz w:val="18"/>
        </w:rPr>
        <w:t> </w:t>
      </w:r>
      <w:r>
        <w:rPr>
          <w:sz w:val="18"/>
        </w:rPr>
        <w:t>within</w:t>
      </w:r>
      <w:r>
        <w:rPr>
          <w:spacing w:val="-4"/>
          <w:sz w:val="18"/>
        </w:rPr>
        <w:t> </w:t>
      </w:r>
      <w:r>
        <w:rPr>
          <w:sz w:val="18"/>
        </w:rPr>
        <w:t>our</w:t>
      </w:r>
      <w:r>
        <w:rPr>
          <w:spacing w:val="-4"/>
          <w:sz w:val="18"/>
        </w:rPr>
        <w:t> </w:t>
      </w:r>
      <w:r>
        <w:rPr>
          <w:sz w:val="18"/>
        </w:rPr>
        <w:t>Core</w:t>
      </w:r>
      <w:r>
        <w:rPr>
          <w:spacing w:val="-4"/>
          <w:sz w:val="18"/>
        </w:rPr>
        <w:t> </w:t>
      </w:r>
      <w:r>
        <w:rPr>
          <w:sz w:val="18"/>
        </w:rPr>
        <w:t>Portfolio</w:t>
      </w:r>
      <w:r>
        <w:rPr>
          <w:spacing w:val="-4"/>
          <w:sz w:val="18"/>
        </w:rPr>
        <w:t> </w:t>
      </w:r>
      <w:r>
        <w:rPr>
          <w:sz w:val="18"/>
        </w:rPr>
        <w:t>increased</w:t>
      </w:r>
      <w:r>
        <w:rPr>
          <w:spacing w:val="-3"/>
          <w:sz w:val="18"/>
        </w:rPr>
        <w:t> </w:t>
      </w:r>
      <w:r>
        <w:rPr>
          <w:sz w:val="18"/>
        </w:rPr>
        <w:t>by</w:t>
      </w:r>
      <w:r>
        <w:rPr>
          <w:spacing w:val="-4"/>
          <w:sz w:val="18"/>
        </w:rPr>
        <w:t> </w:t>
      </w:r>
      <w:r>
        <w:rPr>
          <w:sz w:val="18"/>
        </w:rPr>
        <w:t>12.9%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4.7%,</w:t>
      </w:r>
      <w:r>
        <w:rPr>
          <w:spacing w:val="-4"/>
          <w:sz w:val="18"/>
        </w:rPr>
        <w:t> </w:t>
      </w:r>
      <w:r>
        <w:rPr>
          <w:sz w:val="18"/>
        </w:rPr>
        <w:t>respectively,</w:t>
      </w:r>
      <w:r>
        <w:rPr>
          <w:spacing w:val="-47"/>
          <w:sz w:val="18"/>
        </w:rPr>
        <w:t> </w:t>
      </w:r>
      <w:r>
        <w:rPr>
          <w:sz w:val="18"/>
        </w:rPr>
        <w:t>compared</w:t>
      </w:r>
      <w:r>
        <w:rPr>
          <w:spacing w:val="-1"/>
          <w:sz w:val="18"/>
        </w:rPr>
        <w:t> </w:t>
      </w:r>
      <w:r>
        <w:rPr>
          <w:sz w:val="18"/>
        </w:rPr>
        <w:t>to 2020.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7" w:lineRule="auto" w:before="78" w:after="0"/>
        <w:ind w:left="2762" w:right="512" w:hanging="360"/>
        <w:jc w:val="left"/>
        <w:rPr>
          <w:sz w:val="18"/>
        </w:rPr>
      </w:pPr>
      <w:r>
        <w:rPr>
          <w:sz w:val="18"/>
        </w:rPr>
        <w:t>Membership sales and expenses, consisting of membership upgrade sales and expenses, as</w:t>
      </w:r>
      <w:r>
        <w:rPr>
          <w:spacing w:val="1"/>
          <w:sz w:val="18"/>
        </w:rPr>
        <w:t> </w:t>
      </w:r>
      <w:r>
        <w:rPr>
          <w:sz w:val="18"/>
        </w:rPr>
        <w:t>well</w:t>
      </w:r>
      <w:r>
        <w:rPr>
          <w:spacing w:val="-4"/>
          <w:sz w:val="18"/>
        </w:rPr>
        <w:t> </w:t>
      </w:r>
      <w:r>
        <w:rPr>
          <w:sz w:val="18"/>
        </w:rPr>
        <w:t>as</w:t>
      </w:r>
      <w:r>
        <w:rPr>
          <w:spacing w:val="-4"/>
          <w:sz w:val="18"/>
        </w:rPr>
        <w:t> </w:t>
      </w:r>
      <w:r>
        <w:rPr>
          <w:sz w:val="18"/>
        </w:rPr>
        <w:t>commissions</w:t>
      </w:r>
      <w:r>
        <w:rPr>
          <w:spacing w:val="-4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camping</w:t>
      </w:r>
      <w:r>
        <w:rPr>
          <w:spacing w:val="-4"/>
          <w:sz w:val="18"/>
        </w:rPr>
        <w:t> </w:t>
      </w:r>
      <w:r>
        <w:rPr>
          <w:sz w:val="18"/>
        </w:rPr>
        <w:t>and</w:t>
      </w:r>
      <w:r>
        <w:rPr>
          <w:spacing w:val="-8"/>
          <w:sz w:val="18"/>
        </w:rPr>
        <w:t> </w:t>
      </w:r>
      <w:r>
        <w:rPr>
          <w:sz w:val="18"/>
        </w:rPr>
        <w:t>Trails</w:t>
      </w:r>
      <w:r>
        <w:rPr>
          <w:spacing w:val="-3"/>
          <w:sz w:val="18"/>
        </w:rPr>
        <w:t> </w:t>
      </w:r>
      <w:r>
        <w:rPr>
          <w:sz w:val="18"/>
        </w:rPr>
        <w:t>Collection</w:t>
      </w:r>
      <w:r>
        <w:rPr>
          <w:spacing w:val="-4"/>
          <w:sz w:val="18"/>
        </w:rPr>
        <w:t> </w:t>
      </w:r>
      <w:r>
        <w:rPr>
          <w:sz w:val="18"/>
        </w:rPr>
        <w:t>passes,</w:t>
      </w:r>
      <w:r>
        <w:rPr>
          <w:spacing w:val="-4"/>
          <w:sz w:val="18"/>
        </w:rPr>
        <w:t> </w:t>
      </w:r>
      <w:r>
        <w:rPr>
          <w:sz w:val="18"/>
        </w:rPr>
        <w:t>contributed</w:t>
      </w:r>
      <w:r>
        <w:rPr>
          <w:spacing w:val="-4"/>
          <w:sz w:val="18"/>
        </w:rPr>
        <w:t> </w:t>
      </w:r>
      <w:r>
        <w:rPr>
          <w:sz w:val="18"/>
        </w:rPr>
        <w:t>$12.5</w:t>
      </w:r>
      <w:r>
        <w:rPr>
          <w:spacing w:val="-3"/>
          <w:sz w:val="18"/>
        </w:rPr>
        <w:t> </w:t>
      </w:r>
      <w:r>
        <w:rPr>
          <w:sz w:val="18"/>
        </w:rPr>
        <w:t>million</w:t>
      </w:r>
      <w:r>
        <w:rPr>
          <w:spacing w:val="-4"/>
          <w:sz w:val="18"/>
        </w:rPr>
        <w:t> </w:t>
      </w:r>
      <w:r>
        <w:rPr>
          <w:sz w:val="18"/>
        </w:rPr>
        <w:t>for</w:t>
      </w:r>
      <w:r>
        <w:rPr>
          <w:spacing w:val="-4"/>
          <w:sz w:val="18"/>
        </w:rPr>
        <w:t> </w:t>
      </w:r>
      <w:r>
        <w:rPr>
          <w:sz w:val="18"/>
        </w:rPr>
        <w:t>the</w:t>
      </w:r>
      <w:r>
        <w:rPr>
          <w:spacing w:val="-47"/>
          <w:sz w:val="18"/>
        </w:rPr>
        <w:t> </w:t>
      </w:r>
      <w:r>
        <w:rPr>
          <w:sz w:val="18"/>
        </w:rPr>
        <w:t>year,</w:t>
      </w:r>
      <w:r>
        <w:rPr>
          <w:spacing w:val="-1"/>
          <w:sz w:val="18"/>
        </w:rPr>
        <w:t> </w:t>
      </w:r>
      <w:r>
        <w:rPr>
          <w:sz w:val="18"/>
        </w:rPr>
        <w:t>an</w:t>
      </w:r>
      <w:r>
        <w:rPr>
          <w:spacing w:val="-1"/>
          <w:sz w:val="18"/>
        </w:rPr>
        <w:t> </w:t>
      </w:r>
      <w:r>
        <w:rPr>
          <w:sz w:val="18"/>
        </w:rPr>
        <w:t>increase of</w:t>
      </w:r>
      <w:r>
        <w:rPr>
          <w:spacing w:val="-1"/>
          <w:sz w:val="18"/>
        </w:rPr>
        <w:t> </w:t>
      </w:r>
      <w:r>
        <w:rPr>
          <w:sz w:val="18"/>
        </w:rPr>
        <w:t>$8.1</w:t>
      </w:r>
      <w:r>
        <w:rPr>
          <w:spacing w:val="-1"/>
          <w:sz w:val="18"/>
        </w:rPr>
        <w:t> </w:t>
      </w:r>
      <w:r>
        <w:rPr>
          <w:sz w:val="18"/>
        </w:rPr>
        <w:t>million, or</w:t>
      </w:r>
      <w:r>
        <w:rPr>
          <w:spacing w:val="-1"/>
          <w:sz w:val="18"/>
        </w:rPr>
        <w:t> </w:t>
      </w:r>
      <w:r>
        <w:rPr>
          <w:sz w:val="18"/>
        </w:rPr>
        <w:t>184%, compared</w:t>
      </w:r>
      <w:r>
        <w:rPr>
          <w:spacing w:val="-1"/>
          <w:sz w:val="18"/>
        </w:rPr>
        <w:t> </w:t>
      </w:r>
      <w:r>
        <w:rPr>
          <w:sz w:val="18"/>
        </w:rPr>
        <w:t>to</w:t>
      </w:r>
      <w:r>
        <w:rPr>
          <w:spacing w:val="-1"/>
          <w:sz w:val="18"/>
        </w:rPr>
        <w:t> </w:t>
      </w:r>
      <w:r>
        <w:rPr>
          <w:sz w:val="18"/>
        </w:rPr>
        <w:t>2020.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68" w:after="0"/>
        <w:ind w:left="2716" w:right="0" w:hanging="315"/>
        <w:jc w:val="left"/>
        <w:rPr>
          <w:sz w:val="18"/>
        </w:rPr>
      </w:pPr>
      <w:r>
        <w:rPr>
          <w:sz w:val="18"/>
        </w:rPr>
        <w:t>New</w:t>
      </w:r>
      <w:r>
        <w:rPr>
          <w:spacing w:val="-4"/>
          <w:sz w:val="18"/>
        </w:rPr>
        <w:t> </w:t>
      </w:r>
      <w:r>
        <w:rPr>
          <w:sz w:val="18"/>
        </w:rPr>
        <w:t>home</w:t>
      </w:r>
      <w:r>
        <w:rPr>
          <w:spacing w:val="-4"/>
          <w:sz w:val="18"/>
        </w:rPr>
        <w:t> </w:t>
      </w:r>
      <w:r>
        <w:rPr>
          <w:sz w:val="18"/>
        </w:rPr>
        <w:t>sales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4"/>
          <w:sz w:val="18"/>
        </w:rPr>
        <w:t> </w:t>
      </w:r>
      <w:r>
        <w:rPr>
          <w:sz w:val="18"/>
        </w:rPr>
        <w:t>1,163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4"/>
          <w:sz w:val="18"/>
        </w:rPr>
        <w:t> </w:t>
      </w:r>
      <w:r>
        <w:rPr>
          <w:sz w:val="18"/>
        </w:rPr>
        <w:t>2021,</w:t>
      </w:r>
      <w:r>
        <w:rPr>
          <w:spacing w:val="-3"/>
          <w:sz w:val="18"/>
        </w:rPr>
        <w:t> </w:t>
      </w:r>
      <w:r>
        <w:rPr>
          <w:sz w:val="18"/>
        </w:rPr>
        <w:t>which</w:t>
      </w:r>
      <w:r>
        <w:rPr>
          <w:spacing w:val="-4"/>
          <w:sz w:val="18"/>
        </w:rPr>
        <w:t> </w:t>
      </w:r>
      <w:r>
        <w:rPr>
          <w:sz w:val="18"/>
        </w:rPr>
        <w:t>was</w:t>
      </w:r>
      <w:r>
        <w:rPr>
          <w:spacing w:val="-3"/>
          <w:sz w:val="18"/>
        </w:rPr>
        <w:t> </w:t>
      </w:r>
      <w:r>
        <w:rPr>
          <w:sz w:val="18"/>
        </w:rPr>
        <w:t>the</w:t>
      </w:r>
      <w:r>
        <w:rPr>
          <w:spacing w:val="-4"/>
          <w:sz w:val="18"/>
        </w:rPr>
        <w:t> </w:t>
      </w:r>
      <w:r>
        <w:rPr>
          <w:sz w:val="18"/>
        </w:rPr>
        <w:t>highest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4"/>
          <w:sz w:val="18"/>
        </w:rPr>
        <w:t> </w:t>
      </w:r>
      <w:r>
        <w:rPr>
          <w:sz w:val="18"/>
        </w:rPr>
        <w:t>Company</w:t>
      </w:r>
      <w:r>
        <w:rPr>
          <w:spacing w:val="-3"/>
          <w:sz w:val="18"/>
        </w:rPr>
        <w:t> </w:t>
      </w:r>
      <w:r>
        <w:rPr>
          <w:sz w:val="18"/>
        </w:rPr>
        <w:t>history.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7" w:lineRule="auto" w:before="69" w:after="0"/>
        <w:ind w:left="2762" w:right="524" w:hanging="360"/>
        <w:jc w:val="left"/>
        <w:rPr>
          <w:sz w:val="18"/>
        </w:rPr>
      </w:pPr>
      <w:r>
        <w:rPr>
          <w:sz w:val="18"/>
        </w:rPr>
        <w:t>Acquired</w:t>
      </w:r>
      <w:r>
        <w:rPr>
          <w:spacing w:val="-3"/>
          <w:sz w:val="18"/>
        </w:rPr>
        <w:t> </w:t>
      </w:r>
      <w:r>
        <w:rPr>
          <w:sz w:val="18"/>
        </w:rPr>
        <w:t>eleven</w:t>
      </w:r>
      <w:r>
        <w:rPr>
          <w:spacing w:val="-3"/>
          <w:sz w:val="18"/>
        </w:rPr>
        <w:t> </w:t>
      </w:r>
      <w:r>
        <w:rPr>
          <w:sz w:val="18"/>
        </w:rPr>
        <w:t>marinas,</w:t>
      </w:r>
      <w:r>
        <w:rPr>
          <w:spacing w:val="-3"/>
          <w:sz w:val="18"/>
        </w:rPr>
        <w:t> </w:t>
      </w:r>
      <w:r>
        <w:rPr>
          <w:sz w:val="18"/>
        </w:rPr>
        <w:t>five</w:t>
      </w:r>
      <w:r>
        <w:rPr>
          <w:spacing w:val="-2"/>
          <w:sz w:val="18"/>
        </w:rPr>
        <w:t> </w:t>
      </w:r>
      <w:r>
        <w:rPr>
          <w:sz w:val="18"/>
        </w:rPr>
        <w:t>RV</w:t>
      </w:r>
      <w:r>
        <w:rPr>
          <w:spacing w:val="-3"/>
          <w:sz w:val="18"/>
        </w:rPr>
        <w:t> </w:t>
      </w:r>
      <w:r>
        <w:rPr>
          <w:sz w:val="18"/>
        </w:rPr>
        <w:t>communities,</w:t>
      </w:r>
      <w:r>
        <w:rPr>
          <w:spacing w:val="-3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parcel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land</w:t>
      </w:r>
      <w:r>
        <w:rPr>
          <w:spacing w:val="-3"/>
          <w:sz w:val="18"/>
        </w:rPr>
        <w:t> </w:t>
      </w:r>
      <w:r>
        <w:rPr>
          <w:sz w:val="18"/>
        </w:rPr>
        <w:t>occupied</w:t>
      </w:r>
      <w:r>
        <w:rPr>
          <w:spacing w:val="-3"/>
          <w:sz w:val="18"/>
        </w:rPr>
        <w:t> </w:t>
      </w:r>
      <w:r>
        <w:rPr>
          <w:sz w:val="18"/>
        </w:rPr>
        <w:t>by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portion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an</w:t>
      </w:r>
      <w:r>
        <w:rPr>
          <w:spacing w:val="-2"/>
          <w:sz w:val="18"/>
        </w:rPr>
        <w:t> </w:t>
      </w:r>
      <w:r>
        <w:rPr>
          <w:sz w:val="18"/>
        </w:rPr>
        <w:t>RV</w:t>
      </w:r>
      <w:r>
        <w:rPr>
          <w:spacing w:val="-47"/>
          <w:sz w:val="18"/>
        </w:rPr>
        <w:t> </w:t>
      </w:r>
      <w:r>
        <w:rPr>
          <w:sz w:val="18"/>
        </w:rPr>
        <w:t>community managed by a tenant pursuant to a ground lease, an 80% equity interest in a joint</w:t>
      </w:r>
      <w:r>
        <w:rPr>
          <w:spacing w:val="1"/>
          <w:sz w:val="18"/>
        </w:rPr>
        <w:t> </w:t>
      </w:r>
      <w:r>
        <w:rPr>
          <w:sz w:val="18"/>
        </w:rPr>
        <w:t>venture</w:t>
      </w:r>
      <w:r>
        <w:rPr>
          <w:spacing w:val="-4"/>
          <w:sz w:val="18"/>
        </w:rPr>
        <w:t> </w:t>
      </w:r>
      <w:r>
        <w:rPr>
          <w:sz w:val="18"/>
        </w:rPr>
        <w:t>with</w:t>
      </w:r>
      <w:r>
        <w:rPr>
          <w:spacing w:val="-4"/>
          <w:sz w:val="18"/>
        </w:rPr>
        <w:t> </w:t>
      </w:r>
      <w:r>
        <w:rPr>
          <w:sz w:val="18"/>
        </w:rPr>
        <w:t>six</w:t>
      </w:r>
      <w:r>
        <w:rPr>
          <w:spacing w:val="-3"/>
          <w:sz w:val="18"/>
        </w:rPr>
        <w:t> </w:t>
      </w:r>
      <w:r>
        <w:rPr>
          <w:sz w:val="18"/>
        </w:rPr>
        <w:t>RV</w:t>
      </w:r>
      <w:r>
        <w:rPr>
          <w:spacing w:val="-4"/>
          <w:sz w:val="18"/>
        </w:rPr>
        <w:t> </w:t>
      </w:r>
      <w:r>
        <w:rPr>
          <w:sz w:val="18"/>
        </w:rPr>
        <w:t>communities,</w:t>
      </w:r>
      <w:r>
        <w:rPr>
          <w:spacing w:val="-3"/>
          <w:sz w:val="18"/>
        </w:rPr>
        <w:t> </w:t>
      </w:r>
      <w:r>
        <w:rPr>
          <w:sz w:val="18"/>
        </w:rPr>
        <w:t>MH</w:t>
      </w:r>
      <w:r>
        <w:rPr>
          <w:spacing w:val="-4"/>
          <w:sz w:val="18"/>
        </w:rPr>
        <w:t> </w:t>
      </w:r>
      <w:r>
        <w:rPr>
          <w:sz w:val="18"/>
        </w:rPr>
        <w:t>Village/Datacomp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4"/>
          <w:sz w:val="18"/>
        </w:rPr>
        <w:t> </w:t>
      </w:r>
      <w:r>
        <w:rPr>
          <w:sz w:val="18"/>
        </w:rPr>
        <w:t>three</w:t>
      </w:r>
      <w:r>
        <w:rPr>
          <w:spacing w:val="-3"/>
          <w:sz w:val="18"/>
        </w:rPr>
        <w:t> </w:t>
      </w:r>
      <w:r>
        <w:rPr>
          <w:sz w:val="18"/>
        </w:rPr>
        <w:t>land</w:t>
      </w:r>
      <w:r>
        <w:rPr>
          <w:spacing w:val="-4"/>
          <w:sz w:val="18"/>
        </w:rPr>
        <w:t> </w:t>
      </w:r>
      <w:r>
        <w:rPr>
          <w:sz w:val="18"/>
        </w:rPr>
        <w:t>parcels</w:t>
      </w:r>
      <w:r>
        <w:rPr>
          <w:spacing w:val="-3"/>
          <w:sz w:val="18"/>
        </w:rPr>
        <w:t> </w:t>
      </w:r>
      <w:r>
        <w:rPr>
          <w:sz w:val="18"/>
        </w:rPr>
        <w:t>adjacent</w:t>
      </w:r>
      <w:r>
        <w:rPr>
          <w:spacing w:val="-4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our</w:t>
      </w:r>
      <w:r>
        <w:rPr>
          <w:spacing w:val="-47"/>
          <w:sz w:val="18"/>
        </w:rPr>
        <w:t> </w:t>
      </w:r>
      <w:r>
        <w:rPr>
          <w:sz w:val="18"/>
        </w:rPr>
        <w:t>properties</w:t>
      </w:r>
      <w:r>
        <w:rPr>
          <w:spacing w:val="-1"/>
          <w:sz w:val="18"/>
        </w:rPr>
        <w:t> </w:t>
      </w:r>
      <w:r>
        <w:rPr>
          <w:sz w:val="18"/>
        </w:rPr>
        <w:t>with</w:t>
      </w:r>
      <w:r>
        <w:rPr>
          <w:spacing w:val="-1"/>
          <w:sz w:val="18"/>
        </w:rPr>
        <w:t> </w:t>
      </w:r>
      <w:r>
        <w:rPr>
          <w:sz w:val="18"/>
        </w:rPr>
        <w:t>an aggregate</w:t>
      </w:r>
      <w:r>
        <w:rPr>
          <w:spacing w:val="-1"/>
          <w:sz w:val="18"/>
        </w:rPr>
        <w:t> </w:t>
      </w:r>
      <w:r>
        <w:rPr>
          <w:sz w:val="18"/>
        </w:rPr>
        <w:t>purchase price</w:t>
      </w:r>
      <w:r>
        <w:rPr>
          <w:spacing w:val="-1"/>
          <w:sz w:val="18"/>
        </w:rPr>
        <w:t> </w:t>
      </w:r>
      <w:r>
        <w:rPr>
          <w:sz w:val="18"/>
        </w:rPr>
        <w:t>of $715.6</w:t>
      </w:r>
      <w:r>
        <w:rPr>
          <w:spacing w:val="-1"/>
          <w:sz w:val="18"/>
        </w:rPr>
        <w:t> </w:t>
      </w:r>
      <w:r>
        <w:rPr>
          <w:sz w:val="18"/>
        </w:rPr>
        <w:t>million.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71" w:after="0"/>
        <w:ind w:left="2716" w:right="0" w:hanging="315"/>
        <w:jc w:val="left"/>
        <w:rPr>
          <w:sz w:val="18"/>
        </w:rPr>
      </w:pPr>
      <w:r>
        <w:rPr>
          <w:sz w:val="18"/>
        </w:rPr>
        <w:t>Added</w:t>
      </w:r>
      <w:r>
        <w:rPr>
          <w:spacing w:val="-3"/>
          <w:sz w:val="18"/>
        </w:rPr>
        <w:t> </w:t>
      </w:r>
      <w:r>
        <w:rPr>
          <w:sz w:val="18"/>
        </w:rPr>
        <w:t>1,037</w:t>
      </w:r>
      <w:r>
        <w:rPr>
          <w:spacing w:val="-3"/>
          <w:sz w:val="18"/>
        </w:rPr>
        <w:t> </w:t>
      </w:r>
      <w:r>
        <w:rPr>
          <w:sz w:val="18"/>
        </w:rPr>
        <w:t>expansion</w:t>
      </w:r>
      <w:r>
        <w:rPr>
          <w:spacing w:val="-2"/>
          <w:sz w:val="18"/>
        </w:rPr>
        <w:t> </w:t>
      </w:r>
      <w:r>
        <w:rPr>
          <w:sz w:val="18"/>
        </w:rPr>
        <w:t>Sites</w:t>
      </w:r>
      <w:r>
        <w:rPr>
          <w:spacing w:val="-3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our</w:t>
      </w:r>
      <w:r>
        <w:rPr>
          <w:spacing w:val="-2"/>
          <w:sz w:val="18"/>
        </w:rPr>
        <w:t> </w:t>
      </w:r>
      <w:r>
        <w:rPr>
          <w:sz w:val="18"/>
        </w:rPr>
        <w:t>Core</w:t>
      </w:r>
      <w:r>
        <w:rPr>
          <w:spacing w:val="-3"/>
          <w:sz w:val="18"/>
        </w:rPr>
        <w:t> </w:t>
      </w:r>
      <w:r>
        <w:rPr>
          <w:sz w:val="18"/>
        </w:rPr>
        <w:t>Portfolio</w:t>
      </w:r>
      <w:r>
        <w:rPr>
          <w:spacing w:val="-3"/>
          <w:sz w:val="18"/>
        </w:rPr>
        <w:t> </w:t>
      </w:r>
      <w:r>
        <w:rPr>
          <w:sz w:val="18"/>
        </w:rPr>
        <w:t>in</w:t>
      </w:r>
      <w:r>
        <w:rPr>
          <w:spacing w:val="-2"/>
          <w:sz w:val="18"/>
        </w:rPr>
        <w:t> </w:t>
      </w:r>
      <w:r>
        <w:rPr>
          <w:sz w:val="18"/>
        </w:rPr>
        <w:t>2021.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7" w:lineRule="auto" w:before="69" w:after="0"/>
        <w:ind w:left="2762" w:right="397" w:hanging="360"/>
        <w:jc w:val="left"/>
        <w:rPr>
          <w:sz w:val="18"/>
        </w:rPr>
      </w:pPr>
      <w:r>
        <w:rPr>
          <w:sz w:val="18"/>
        </w:rPr>
        <w:t>Originated secured debt with gross proceeds of $270.0 million with a maturity of 10 years and an</w:t>
      </w:r>
      <w:r>
        <w:rPr>
          <w:spacing w:val="-48"/>
          <w:sz w:val="18"/>
        </w:rPr>
        <w:t> </w:t>
      </w:r>
      <w:r>
        <w:rPr>
          <w:sz w:val="18"/>
        </w:rPr>
        <w:t>interest rate of 2.4%. We used these proceeds to repay $67.0 million of debt due to mature in</w:t>
      </w:r>
      <w:r>
        <w:rPr>
          <w:spacing w:val="1"/>
          <w:sz w:val="18"/>
        </w:rPr>
        <w:t> </w:t>
      </w:r>
      <w:r>
        <w:rPr>
          <w:sz w:val="18"/>
        </w:rPr>
        <w:t>2022 at a weighted average rate of 5.1%.</w:t>
      </w:r>
      <w:r>
        <w:rPr>
          <w:spacing w:val="1"/>
          <w:sz w:val="18"/>
        </w:rPr>
        <w:t> </w:t>
      </w:r>
      <w:r>
        <w:rPr>
          <w:sz w:val="18"/>
        </w:rPr>
        <w:t>The remainder of the proceeds were used to repay a</w:t>
      </w:r>
      <w:r>
        <w:rPr>
          <w:spacing w:val="1"/>
          <w:sz w:val="18"/>
        </w:rPr>
        <w:t> </w:t>
      </w:r>
      <w:r>
        <w:rPr>
          <w:sz w:val="18"/>
        </w:rPr>
        <w:t>portion</w:t>
      </w:r>
      <w:r>
        <w:rPr>
          <w:spacing w:val="-1"/>
          <w:sz w:val="18"/>
        </w:rPr>
        <w:t> </w:t>
      </w:r>
      <w:r>
        <w:rPr>
          <w:sz w:val="18"/>
        </w:rPr>
        <w:t>of the</w:t>
      </w:r>
      <w:r>
        <w:rPr>
          <w:spacing w:val="-1"/>
          <w:sz w:val="18"/>
        </w:rPr>
        <w:t> </w:t>
      </w:r>
      <w:r>
        <w:rPr>
          <w:sz w:val="18"/>
        </w:rPr>
        <w:t>outstanding balance on</w:t>
      </w:r>
      <w:r>
        <w:rPr>
          <w:spacing w:val="-1"/>
          <w:sz w:val="18"/>
        </w:rPr>
        <w:t> </w:t>
      </w:r>
      <w:r>
        <w:rPr>
          <w:sz w:val="18"/>
        </w:rPr>
        <w:t>the line of</w:t>
      </w:r>
      <w:r>
        <w:rPr>
          <w:spacing w:val="-1"/>
          <w:sz w:val="18"/>
        </w:rPr>
        <w:t> </w:t>
      </w:r>
      <w:r>
        <w:rPr>
          <w:sz w:val="18"/>
        </w:rPr>
        <w:t>credit.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71" w:after="0"/>
        <w:ind w:left="2716" w:right="0" w:hanging="315"/>
        <w:jc w:val="left"/>
        <w:rPr>
          <w:sz w:val="18"/>
        </w:rPr>
      </w:pPr>
      <w:r>
        <w:rPr>
          <w:sz w:val="18"/>
        </w:rPr>
        <w:t>Closed</w:t>
      </w:r>
      <w:r>
        <w:rPr>
          <w:spacing w:val="-3"/>
          <w:sz w:val="18"/>
        </w:rPr>
        <w:t> </w:t>
      </w:r>
      <w:r>
        <w:rPr>
          <w:sz w:val="18"/>
        </w:rPr>
        <w:t>on</w:t>
      </w:r>
      <w:r>
        <w:rPr>
          <w:spacing w:val="-3"/>
          <w:sz w:val="18"/>
        </w:rPr>
        <w:t> </w:t>
      </w:r>
      <w:r>
        <w:rPr>
          <w:sz w:val="18"/>
        </w:rPr>
        <w:t>an</w:t>
      </w:r>
      <w:r>
        <w:rPr>
          <w:spacing w:val="-3"/>
          <w:sz w:val="18"/>
        </w:rPr>
        <w:t> </w:t>
      </w:r>
      <w:r>
        <w:rPr>
          <w:sz w:val="18"/>
        </w:rPr>
        <w:t>amended</w:t>
      </w:r>
      <w:r>
        <w:rPr>
          <w:spacing w:val="-3"/>
          <w:sz w:val="18"/>
        </w:rPr>
        <w:t> </w:t>
      </w:r>
      <w:r>
        <w:rPr>
          <w:sz w:val="18"/>
        </w:rPr>
        <w:t>revolving</w:t>
      </w:r>
      <w:r>
        <w:rPr>
          <w:spacing w:val="-3"/>
          <w:sz w:val="18"/>
        </w:rPr>
        <w:t> </w:t>
      </w:r>
      <w:r>
        <w:rPr>
          <w:sz w:val="18"/>
        </w:rPr>
        <w:t>line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credit</w:t>
      </w:r>
      <w:r>
        <w:rPr>
          <w:spacing w:val="-3"/>
          <w:sz w:val="18"/>
        </w:rPr>
        <w:t> </w:t>
      </w:r>
      <w:r>
        <w:rPr>
          <w:sz w:val="18"/>
        </w:rPr>
        <w:t>with</w:t>
      </w:r>
      <w:r>
        <w:rPr>
          <w:spacing w:val="-3"/>
          <w:sz w:val="18"/>
        </w:rPr>
        <w:t> </w:t>
      </w:r>
      <w:r>
        <w:rPr>
          <w:sz w:val="18"/>
        </w:rPr>
        <w:t>borrowing</w:t>
      </w:r>
      <w:r>
        <w:rPr>
          <w:spacing w:val="-3"/>
          <w:sz w:val="18"/>
        </w:rPr>
        <w:t> </w:t>
      </w:r>
      <w:r>
        <w:rPr>
          <w:sz w:val="18"/>
        </w:rPr>
        <w:t>capacity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$500.0</w:t>
      </w:r>
      <w:r>
        <w:rPr>
          <w:spacing w:val="-3"/>
          <w:sz w:val="18"/>
        </w:rPr>
        <w:t> </w:t>
      </w:r>
      <w:r>
        <w:rPr>
          <w:sz w:val="18"/>
        </w:rPr>
        <w:t>million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a</w:t>
      </w:r>
    </w:p>
    <w:p>
      <w:pPr>
        <w:spacing w:before="2"/>
        <w:ind w:left="2762" w:right="0" w:firstLine="0"/>
        <w:jc w:val="left"/>
        <w:rPr>
          <w:sz w:val="18"/>
        </w:rPr>
      </w:pPr>
      <w:r>
        <w:rPr>
          <w:sz w:val="18"/>
        </w:rPr>
        <w:t>$300.0</w:t>
      </w:r>
      <w:r>
        <w:rPr>
          <w:spacing w:val="-4"/>
          <w:sz w:val="18"/>
        </w:rPr>
        <w:t> </w:t>
      </w:r>
      <w:r>
        <w:rPr>
          <w:sz w:val="18"/>
        </w:rPr>
        <w:t>million</w:t>
      </w:r>
      <w:r>
        <w:rPr>
          <w:spacing w:val="-3"/>
          <w:sz w:val="18"/>
        </w:rPr>
        <w:t> </w:t>
      </w:r>
      <w:r>
        <w:rPr>
          <w:sz w:val="18"/>
        </w:rPr>
        <w:t>term</w:t>
      </w:r>
      <w:r>
        <w:rPr>
          <w:spacing w:val="-3"/>
          <w:sz w:val="18"/>
        </w:rPr>
        <w:t> </w:t>
      </w:r>
      <w:r>
        <w:rPr>
          <w:sz w:val="18"/>
        </w:rPr>
        <w:t>loan.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77" w:after="0"/>
        <w:ind w:left="2762" w:right="407" w:hanging="360"/>
        <w:jc w:val="left"/>
        <w:rPr>
          <w:sz w:val="18"/>
        </w:rPr>
      </w:pPr>
      <w:r>
        <w:rPr>
          <w:sz w:val="18"/>
        </w:rPr>
        <w:t>Raised</w:t>
      </w:r>
      <w:r>
        <w:rPr>
          <w:spacing w:val="-3"/>
          <w:sz w:val="18"/>
        </w:rPr>
        <w:t> </w:t>
      </w:r>
      <w:r>
        <w:rPr>
          <w:sz w:val="18"/>
        </w:rPr>
        <w:t>our</w:t>
      </w:r>
      <w:r>
        <w:rPr>
          <w:spacing w:val="-2"/>
          <w:sz w:val="18"/>
        </w:rPr>
        <w:t> </w:t>
      </w:r>
      <w:r>
        <w:rPr>
          <w:sz w:val="18"/>
        </w:rPr>
        <w:t>annual</w:t>
      </w:r>
      <w:r>
        <w:rPr>
          <w:spacing w:val="-3"/>
          <w:sz w:val="18"/>
        </w:rPr>
        <w:t> </w:t>
      </w:r>
      <w:r>
        <w:rPr>
          <w:sz w:val="18"/>
        </w:rPr>
        <w:t>dividend</w:t>
      </w:r>
      <w:r>
        <w:rPr>
          <w:spacing w:val="-2"/>
          <w:sz w:val="18"/>
        </w:rPr>
        <w:t> </w:t>
      </w:r>
      <w:r>
        <w:rPr>
          <w:sz w:val="18"/>
        </w:rPr>
        <w:t>for</w:t>
      </w:r>
      <w:r>
        <w:rPr>
          <w:spacing w:val="-3"/>
          <w:sz w:val="18"/>
        </w:rPr>
        <w:t> </w:t>
      </w:r>
      <w:r>
        <w:rPr>
          <w:sz w:val="18"/>
        </w:rPr>
        <w:t>2022</w:t>
      </w:r>
      <w:r>
        <w:rPr>
          <w:spacing w:val="-2"/>
          <w:sz w:val="18"/>
        </w:rPr>
        <w:t> </w:t>
      </w:r>
      <w:r>
        <w:rPr>
          <w:sz w:val="18"/>
        </w:rPr>
        <w:t>to</w:t>
      </w:r>
      <w:r>
        <w:rPr>
          <w:spacing w:val="-3"/>
          <w:sz w:val="18"/>
        </w:rPr>
        <w:t> </w:t>
      </w:r>
      <w:r>
        <w:rPr>
          <w:sz w:val="18"/>
        </w:rPr>
        <w:t>$1.64</w:t>
      </w:r>
      <w:r>
        <w:rPr>
          <w:spacing w:val="-2"/>
          <w:sz w:val="18"/>
        </w:rPr>
        <w:t> </w:t>
      </w:r>
      <w:r>
        <w:rPr>
          <w:sz w:val="18"/>
        </w:rPr>
        <w:t>per</w:t>
      </w:r>
      <w:r>
        <w:rPr>
          <w:spacing w:val="-3"/>
          <w:sz w:val="18"/>
        </w:rPr>
        <w:t> </w:t>
      </w:r>
      <w:r>
        <w:rPr>
          <w:sz w:val="18"/>
        </w:rPr>
        <w:t>share</w:t>
      </w:r>
      <w:r>
        <w:rPr>
          <w:spacing w:val="-2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Common</w:t>
      </w:r>
      <w:r>
        <w:rPr>
          <w:spacing w:val="-2"/>
          <w:sz w:val="18"/>
        </w:rPr>
        <w:t> </w:t>
      </w:r>
      <w:r>
        <w:rPr>
          <w:sz w:val="18"/>
        </w:rPr>
        <w:t>Stock,</w:t>
      </w:r>
      <w:r>
        <w:rPr>
          <w:spacing w:val="-3"/>
          <w:sz w:val="18"/>
        </w:rPr>
        <w:t> </w:t>
      </w:r>
      <w:r>
        <w:rPr>
          <w:sz w:val="18"/>
        </w:rPr>
        <w:t>an</w:t>
      </w:r>
      <w:r>
        <w:rPr>
          <w:spacing w:val="-2"/>
          <w:sz w:val="18"/>
        </w:rPr>
        <w:t> </w:t>
      </w:r>
      <w:r>
        <w:rPr>
          <w:sz w:val="18"/>
        </w:rPr>
        <w:t>increase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13.1%</w:t>
      </w:r>
      <w:r>
        <w:rPr>
          <w:spacing w:val="-47"/>
          <w:sz w:val="18"/>
        </w:rPr>
        <w:t> </w:t>
      </w:r>
      <w:r>
        <w:rPr>
          <w:sz w:val="18"/>
        </w:rPr>
        <w:t>or</w:t>
      </w:r>
      <w:r>
        <w:rPr>
          <w:spacing w:val="-1"/>
          <w:sz w:val="18"/>
        </w:rPr>
        <w:t> </w:t>
      </w:r>
      <w:r>
        <w:rPr>
          <w:sz w:val="18"/>
        </w:rPr>
        <w:t>$0.19,</w:t>
      </w:r>
      <w:r>
        <w:rPr>
          <w:spacing w:val="-1"/>
          <w:sz w:val="18"/>
        </w:rPr>
        <w:t> </w:t>
      </w:r>
      <w:r>
        <w:rPr>
          <w:sz w:val="18"/>
        </w:rPr>
        <w:t>over the</w:t>
      </w:r>
      <w:r>
        <w:rPr>
          <w:spacing w:val="-1"/>
          <w:sz w:val="18"/>
        </w:rPr>
        <w:t> </w:t>
      </w:r>
      <w:r>
        <w:rPr>
          <w:sz w:val="18"/>
        </w:rPr>
        <w:t>current $1.45</w:t>
      </w:r>
      <w:r>
        <w:rPr>
          <w:spacing w:val="-1"/>
          <w:sz w:val="18"/>
        </w:rPr>
        <w:t> </w:t>
      </w:r>
      <w:r>
        <w:rPr>
          <w:sz w:val="18"/>
        </w:rPr>
        <w:t>per share</w:t>
      </w:r>
      <w:r>
        <w:rPr>
          <w:spacing w:val="-1"/>
          <w:sz w:val="18"/>
        </w:rPr>
        <w:t> </w:t>
      </w:r>
      <w:r>
        <w:rPr>
          <w:sz w:val="18"/>
        </w:rPr>
        <w:t>of Common</w:t>
      </w:r>
      <w:r>
        <w:rPr>
          <w:spacing w:val="-1"/>
          <w:sz w:val="18"/>
        </w:rPr>
        <w:t> </w:t>
      </w:r>
      <w:r>
        <w:rPr>
          <w:sz w:val="18"/>
        </w:rPr>
        <w:t>Stock for</w:t>
      </w:r>
      <w:r>
        <w:rPr>
          <w:spacing w:val="-1"/>
          <w:sz w:val="18"/>
        </w:rPr>
        <w:t> </w:t>
      </w:r>
      <w:r>
        <w:rPr>
          <w:sz w:val="18"/>
        </w:rPr>
        <w:t>2021.</w:t>
      </w:r>
    </w:p>
    <w:p>
      <w:pPr>
        <w:pStyle w:val="ListParagraph"/>
        <w:numPr>
          <w:ilvl w:val="0"/>
          <w:numId w:val="4"/>
        </w:numPr>
        <w:tabs>
          <w:tab w:pos="2717" w:val="left" w:leader="none"/>
        </w:tabs>
        <w:spacing w:line="240" w:lineRule="auto" w:before="78" w:after="0"/>
        <w:ind w:left="2762" w:right="494" w:hanging="360"/>
        <w:jc w:val="left"/>
        <w:rPr>
          <w:sz w:val="18"/>
        </w:rPr>
      </w:pPr>
      <w:r>
        <w:rPr>
          <w:spacing w:val="-1"/>
          <w:sz w:val="18"/>
        </w:rPr>
        <w:t>Sold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approximately</w:t>
      </w:r>
      <w:r>
        <w:rPr>
          <w:spacing w:val="-3"/>
          <w:sz w:val="18"/>
        </w:rPr>
        <w:t> </w:t>
      </w:r>
      <w:r>
        <w:rPr>
          <w:spacing w:val="-1"/>
          <w:sz w:val="18"/>
        </w:rPr>
        <w:t>1.7</w:t>
      </w:r>
      <w:r>
        <w:rPr>
          <w:spacing w:val="-3"/>
          <w:sz w:val="18"/>
        </w:rPr>
        <w:t> </w:t>
      </w:r>
      <w:r>
        <w:rPr>
          <w:sz w:val="18"/>
        </w:rPr>
        <w:t>million</w:t>
      </w:r>
      <w:r>
        <w:rPr>
          <w:spacing w:val="-3"/>
          <w:sz w:val="18"/>
        </w:rPr>
        <w:t> </w:t>
      </w:r>
      <w:r>
        <w:rPr>
          <w:sz w:val="18"/>
        </w:rPr>
        <w:t>shares</w:t>
      </w:r>
      <w:r>
        <w:rPr>
          <w:spacing w:val="-3"/>
          <w:sz w:val="18"/>
        </w:rPr>
        <w:t> </w:t>
      </w:r>
      <w:r>
        <w:rPr>
          <w:sz w:val="18"/>
        </w:rPr>
        <w:t>of</w:t>
      </w:r>
      <w:r>
        <w:rPr>
          <w:spacing w:val="-3"/>
          <w:sz w:val="18"/>
        </w:rPr>
        <w:t> </w:t>
      </w:r>
      <w:r>
        <w:rPr>
          <w:sz w:val="18"/>
        </w:rPr>
        <w:t>Common</w:t>
      </w:r>
      <w:r>
        <w:rPr>
          <w:spacing w:val="-3"/>
          <w:sz w:val="18"/>
        </w:rPr>
        <w:t> </w:t>
      </w:r>
      <w:r>
        <w:rPr>
          <w:sz w:val="18"/>
        </w:rPr>
        <w:t>Stock</w:t>
      </w:r>
      <w:r>
        <w:rPr>
          <w:spacing w:val="-3"/>
          <w:sz w:val="18"/>
        </w:rPr>
        <w:t> </w:t>
      </w:r>
      <w:r>
        <w:rPr>
          <w:sz w:val="18"/>
        </w:rPr>
        <w:t>under</w:t>
      </w:r>
      <w:r>
        <w:rPr>
          <w:spacing w:val="-3"/>
          <w:sz w:val="18"/>
        </w:rPr>
        <w:t> </w:t>
      </w:r>
      <w:r>
        <w:rPr>
          <w:sz w:val="18"/>
        </w:rPr>
        <w:t>our</w:t>
      </w:r>
      <w:r>
        <w:rPr>
          <w:spacing w:val="-12"/>
          <w:sz w:val="18"/>
        </w:rPr>
        <w:t> </w:t>
      </w:r>
      <w:r>
        <w:rPr>
          <w:sz w:val="18"/>
        </w:rPr>
        <w:t>ATM</w:t>
      </w:r>
      <w:r>
        <w:rPr>
          <w:spacing w:val="-3"/>
          <w:sz w:val="18"/>
        </w:rPr>
        <w:t> </w:t>
      </w:r>
      <w:r>
        <w:rPr>
          <w:sz w:val="18"/>
        </w:rPr>
        <w:t>equity</w:t>
      </w:r>
      <w:r>
        <w:rPr>
          <w:spacing w:val="-3"/>
          <w:sz w:val="18"/>
        </w:rPr>
        <w:t> </w:t>
      </w:r>
      <w:r>
        <w:rPr>
          <w:sz w:val="18"/>
        </w:rPr>
        <w:t>offering</w:t>
      </w:r>
      <w:r>
        <w:rPr>
          <w:spacing w:val="-3"/>
          <w:sz w:val="18"/>
        </w:rPr>
        <w:t> </w:t>
      </w:r>
      <w:r>
        <w:rPr>
          <w:sz w:val="18"/>
        </w:rPr>
        <w:t>program</w:t>
      </w:r>
      <w:r>
        <w:rPr>
          <w:spacing w:val="-47"/>
          <w:sz w:val="18"/>
        </w:rPr>
        <w:t> </w:t>
      </w:r>
      <w:r>
        <w:rPr>
          <w:sz w:val="18"/>
        </w:rPr>
        <w:t>with</w:t>
      </w:r>
      <w:r>
        <w:rPr>
          <w:spacing w:val="-2"/>
          <w:sz w:val="18"/>
        </w:rPr>
        <w:t> </w:t>
      </w:r>
      <w:r>
        <w:rPr>
          <w:sz w:val="18"/>
        </w:rPr>
        <w:t>a</w:t>
      </w:r>
      <w:r>
        <w:rPr>
          <w:spacing w:val="-1"/>
          <w:sz w:val="18"/>
        </w:rPr>
        <w:t> </w:t>
      </w:r>
      <w:r>
        <w:rPr>
          <w:sz w:val="18"/>
        </w:rPr>
        <w:t>weighted</w:t>
      </w:r>
      <w:r>
        <w:rPr>
          <w:spacing w:val="-2"/>
          <w:sz w:val="18"/>
        </w:rPr>
        <w:t> </w:t>
      </w:r>
      <w:r>
        <w:rPr>
          <w:sz w:val="18"/>
        </w:rPr>
        <w:t>average</w:t>
      </w:r>
      <w:r>
        <w:rPr>
          <w:spacing w:val="-1"/>
          <w:sz w:val="18"/>
        </w:rPr>
        <w:t> </w:t>
      </w:r>
      <w:r>
        <w:rPr>
          <w:sz w:val="18"/>
        </w:rPr>
        <w:t>price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2"/>
          <w:sz w:val="18"/>
        </w:rPr>
        <w:t> </w:t>
      </w:r>
      <w:r>
        <w:rPr>
          <w:sz w:val="18"/>
        </w:rPr>
        <w:t>$84.48</w:t>
      </w:r>
      <w:r>
        <w:rPr>
          <w:spacing w:val="-1"/>
          <w:sz w:val="18"/>
        </w:rPr>
        <w:t> </w:t>
      </w:r>
      <w:r>
        <w:rPr>
          <w:sz w:val="18"/>
        </w:rPr>
        <w:t>per</w:t>
      </w:r>
      <w:r>
        <w:rPr>
          <w:spacing w:val="-1"/>
          <w:sz w:val="18"/>
        </w:rPr>
        <w:t> </w:t>
      </w:r>
      <w:r>
        <w:rPr>
          <w:sz w:val="18"/>
        </w:rPr>
        <w:t>share</w:t>
      </w:r>
      <w:r>
        <w:rPr>
          <w:spacing w:val="-2"/>
          <w:sz w:val="18"/>
        </w:rPr>
        <w:t> </w:t>
      </w:r>
      <w:r>
        <w:rPr>
          <w:sz w:val="18"/>
        </w:rPr>
        <w:t>for</w:t>
      </w:r>
      <w:r>
        <w:rPr>
          <w:spacing w:val="-1"/>
          <w:sz w:val="18"/>
        </w:rPr>
        <w:t> </w:t>
      </w:r>
      <w:r>
        <w:rPr>
          <w:sz w:val="18"/>
        </w:rPr>
        <w:t>net</w:t>
      </w:r>
      <w:r>
        <w:rPr>
          <w:spacing w:val="-2"/>
          <w:sz w:val="18"/>
        </w:rPr>
        <w:t> </w:t>
      </w:r>
      <w:r>
        <w:rPr>
          <w:sz w:val="18"/>
        </w:rPr>
        <w:t>proceeds</w:t>
      </w:r>
      <w:r>
        <w:rPr>
          <w:spacing w:val="-1"/>
          <w:sz w:val="18"/>
        </w:rPr>
        <w:t> </w:t>
      </w:r>
      <w:r>
        <w:rPr>
          <w:sz w:val="18"/>
        </w:rPr>
        <w:t>of</w:t>
      </w:r>
      <w:r>
        <w:rPr>
          <w:spacing w:val="-1"/>
          <w:sz w:val="18"/>
        </w:rPr>
        <w:t> </w:t>
      </w:r>
      <w:r>
        <w:rPr>
          <w:sz w:val="18"/>
        </w:rPr>
        <w:t>$138.4</w:t>
      </w:r>
      <w:r>
        <w:rPr>
          <w:spacing w:val="-2"/>
          <w:sz w:val="18"/>
        </w:rPr>
        <w:t> </w:t>
      </w:r>
      <w:r>
        <w:rPr>
          <w:sz w:val="18"/>
        </w:rPr>
        <w:t>million.</w:t>
      </w:r>
    </w:p>
    <w:p>
      <w:pPr>
        <w:pStyle w:val="BodyText"/>
      </w:pPr>
    </w:p>
    <w:p>
      <w:pPr>
        <w:pStyle w:val="BodyText"/>
        <w:spacing w:before="8"/>
        <w:rPr>
          <w:sz w:val="16"/>
        </w:rPr>
      </w:pPr>
    </w:p>
    <w:p>
      <w:pPr>
        <w:tabs>
          <w:tab w:pos="789" w:val="left" w:leader="none"/>
        </w:tabs>
        <w:spacing w:line="249" w:lineRule="auto" w:before="1"/>
        <w:ind w:left="790" w:right="349" w:hanging="360"/>
        <w:jc w:val="left"/>
        <w:rPr>
          <w:sz w:val="16"/>
        </w:rPr>
      </w:pPr>
      <w:r>
        <w:rPr>
          <w:b/>
          <w:sz w:val="16"/>
          <w:vertAlign w:val="superscript"/>
        </w:rPr>
        <w:t>(1)</w:t>
      </w:r>
      <w:r>
        <w:rPr>
          <w:b/>
          <w:sz w:val="16"/>
          <w:vertAlign w:val="baseline"/>
        </w:rPr>
        <w:tab/>
      </w:r>
      <w:r>
        <w:rPr>
          <w:spacing w:val="-1"/>
          <w:sz w:val="16"/>
          <w:vertAlign w:val="baseline"/>
        </w:rPr>
        <w:t>Capitalized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terms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not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defined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herein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shall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have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meaning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ascribed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them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Company's</w:t>
      </w:r>
      <w:r>
        <w:rPr>
          <w:spacing w:val="-11"/>
          <w:sz w:val="16"/>
          <w:vertAlign w:val="baseline"/>
        </w:rPr>
        <w:t> </w:t>
      </w:r>
      <w:r>
        <w:rPr>
          <w:sz w:val="16"/>
          <w:vertAlign w:val="baseline"/>
        </w:rPr>
        <w:t>Annual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Report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Form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10-K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for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year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ended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December 31, 2021.</w:t>
      </w:r>
    </w:p>
    <w:p>
      <w:pPr>
        <w:spacing w:after="0" w:line="249" w:lineRule="auto"/>
        <w:jc w:val="left"/>
        <w:rPr>
          <w:sz w:val="16"/>
        </w:rPr>
        <w:sectPr>
          <w:pgSz w:w="12240" w:h="15840"/>
          <w:pgMar w:header="0" w:footer="518" w:top="820" w:bottom="780" w:left="740" w:right="700"/>
        </w:sectPr>
      </w:pPr>
    </w:p>
    <w:p>
      <w:pPr>
        <w:pStyle w:val="Heading3"/>
        <w:tabs>
          <w:tab w:pos="4177" w:val="left" w:leader="none"/>
          <w:tab w:pos="10509" w:val="left" w:leader="none"/>
        </w:tabs>
        <w:spacing w:before="80"/>
      </w:pPr>
      <w:r>
        <w:rPr>
          <w:rFonts w:ascii="Times New Roman"/>
          <w:b w:val="0"/>
          <w:color w:val="FFFFFF"/>
          <w:shd w:fill="00539E" w:color="auto" w:val="clear"/>
        </w:rPr>
        <w:t> </w:t>
        <w:tab/>
      </w:r>
      <w:r>
        <w:rPr>
          <w:color w:val="FFFFFF"/>
          <w:shd w:fill="00539E" w:color="auto" w:val="clear"/>
        </w:rPr>
        <w:t>Governance</w:t>
      </w:r>
      <w:r>
        <w:rPr>
          <w:color w:val="FFFFFF"/>
          <w:spacing w:val="-6"/>
          <w:shd w:fill="00539E" w:color="auto" w:val="clear"/>
        </w:rPr>
        <w:t> </w:t>
      </w:r>
      <w:r>
        <w:rPr>
          <w:color w:val="FFFFFF"/>
          <w:shd w:fill="00539E" w:color="auto" w:val="clear"/>
        </w:rPr>
        <w:t>Highlights</w:t>
        <w:tab/>
      </w:r>
    </w:p>
    <w:p>
      <w:pPr>
        <w:spacing w:after="0"/>
        <w:sectPr>
          <w:pgSz w:w="12240" w:h="15840"/>
          <w:pgMar w:header="0" w:footer="518" w:top="1300" w:bottom="780" w:left="740" w:right="700"/>
        </w:sectPr>
      </w:pP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88" w:after="0"/>
        <w:ind w:left="651" w:right="0" w:hanging="350"/>
        <w:jc w:val="left"/>
        <w:rPr>
          <w:sz w:val="20"/>
        </w:rPr>
      </w:pPr>
      <w:r>
        <w:rPr>
          <w:sz w:val="20"/>
        </w:rPr>
        <w:t>8</w:t>
      </w:r>
      <w:r>
        <w:rPr>
          <w:spacing w:val="-5"/>
          <w:sz w:val="20"/>
        </w:rPr>
        <w:t> </w:t>
      </w:r>
      <w:r>
        <w:rPr>
          <w:sz w:val="20"/>
        </w:rPr>
        <w:t>out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10</w:t>
      </w:r>
      <w:r>
        <w:rPr>
          <w:spacing w:val="-4"/>
          <w:sz w:val="20"/>
        </w:rPr>
        <w:t> </w:t>
      </w:r>
      <w:r>
        <w:rPr>
          <w:sz w:val="20"/>
        </w:rPr>
        <w:t>Director</w:t>
      </w:r>
      <w:r>
        <w:rPr>
          <w:spacing w:val="-4"/>
          <w:sz w:val="20"/>
        </w:rPr>
        <w:t> </w:t>
      </w:r>
      <w:r>
        <w:rPr>
          <w:sz w:val="20"/>
        </w:rPr>
        <w:t>Nominees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5"/>
          <w:sz w:val="20"/>
        </w:rPr>
        <w:t> </w:t>
      </w:r>
      <w:r>
        <w:rPr>
          <w:sz w:val="20"/>
        </w:rPr>
        <w:t>Independent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Independent</w:t>
      </w:r>
      <w:r>
        <w:rPr>
          <w:spacing w:val="-7"/>
          <w:sz w:val="20"/>
        </w:rPr>
        <w:t> </w:t>
      </w:r>
      <w:r>
        <w:rPr>
          <w:sz w:val="20"/>
        </w:rPr>
        <w:t>Lead</w:t>
      </w:r>
      <w:r>
        <w:rPr>
          <w:spacing w:val="-7"/>
          <w:sz w:val="20"/>
        </w:rPr>
        <w:t> </w:t>
      </w:r>
      <w:r>
        <w:rPr>
          <w:sz w:val="20"/>
        </w:rPr>
        <w:t>Director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pacing w:val="-1"/>
          <w:sz w:val="20"/>
        </w:rPr>
        <w:t>Independent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Audit</w:t>
      </w:r>
      <w:r>
        <w:rPr>
          <w:sz w:val="20"/>
        </w:rPr>
        <w:t> </w:t>
      </w:r>
      <w:r>
        <w:rPr>
          <w:spacing w:val="-1"/>
          <w:sz w:val="20"/>
        </w:rPr>
        <w:t>Committee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62" w:right="897" w:hanging="360"/>
        <w:jc w:val="left"/>
        <w:rPr>
          <w:sz w:val="20"/>
        </w:rPr>
      </w:pPr>
      <w:r>
        <w:rPr>
          <w:sz w:val="20"/>
        </w:rPr>
        <w:t>Independent</w:t>
      </w:r>
      <w:r>
        <w:rPr>
          <w:spacing w:val="-9"/>
          <w:sz w:val="20"/>
        </w:rPr>
        <w:t> </w:t>
      </w:r>
      <w:r>
        <w:rPr>
          <w:sz w:val="20"/>
        </w:rPr>
        <w:t>Compensation,</w:t>
      </w:r>
      <w:r>
        <w:rPr>
          <w:spacing w:val="-9"/>
          <w:sz w:val="20"/>
        </w:rPr>
        <w:t> </w:t>
      </w:r>
      <w:r>
        <w:rPr>
          <w:sz w:val="20"/>
        </w:rPr>
        <w:t>Nominating</w:t>
      </w:r>
      <w:r>
        <w:rPr>
          <w:spacing w:val="-9"/>
          <w:sz w:val="20"/>
        </w:rPr>
        <w:t> </w:t>
      </w:r>
      <w:r>
        <w:rPr>
          <w:sz w:val="20"/>
        </w:rPr>
        <w:t>&amp;</w:t>
      </w:r>
      <w:r>
        <w:rPr>
          <w:spacing w:val="-52"/>
          <w:sz w:val="20"/>
        </w:rPr>
        <w:t> </w:t>
      </w:r>
      <w:r>
        <w:rPr>
          <w:sz w:val="20"/>
        </w:rPr>
        <w:t>Corporate</w:t>
      </w:r>
      <w:r>
        <w:rPr>
          <w:spacing w:val="-3"/>
          <w:sz w:val="20"/>
        </w:rPr>
        <w:t> </w:t>
      </w:r>
      <w:r>
        <w:rPr>
          <w:sz w:val="20"/>
        </w:rPr>
        <w:t>Governance</w:t>
      </w:r>
      <w:r>
        <w:rPr>
          <w:spacing w:val="-2"/>
          <w:sz w:val="20"/>
        </w:rPr>
        <w:t> </w:t>
      </w:r>
      <w:r>
        <w:rPr>
          <w:sz w:val="20"/>
        </w:rPr>
        <w:t>Committee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7" w:lineRule="auto" w:before="80" w:after="0"/>
        <w:ind w:left="662" w:right="0" w:hanging="360"/>
        <w:jc w:val="left"/>
        <w:rPr>
          <w:sz w:val="20"/>
        </w:rPr>
      </w:pPr>
      <w:r>
        <w:rPr>
          <w:spacing w:val="-1"/>
          <w:sz w:val="20"/>
        </w:rPr>
        <w:t>Independent Compensation </w:t>
      </w:r>
      <w:r>
        <w:rPr>
          <w:sz w:val="20"/>
        </w:rPr>
        <w:t>Consultant to Advise the</w:t>
      </w:r>
      <w:r>
        <w:rPr>
          <w:spacing w:val="-53"/>
          <w:sz w:val="20"/>
        </w:rPr>
        <w:t> </w:t>
      </w:r>
      <w:r>
        <w:rPr>
          <w:sz w:val="20"/>
        </w:rPr>
        <w:t>Compensation,</w:t>
      </w:r>
      <w:r>
        <w:rPr>
          <w:spacing w:val="6"/>
          <w:sz w:val="20"/>
        </w:rPr>
        <w:t> </w:t>
      </w:r>
      <w:r>
        <w:rPr>
          <w:sz w:val="20"/>
        </w:rPr>
        <w:t>Nominating</w:t>
      </w:r>
      <w:r>
        <w:rPr>
          <w:spacing w:val="7"/>
          <w:sz w:val="20"/>
        </w:rPr>
        <w:t> </w:t>
      </w:r>
      <w:r>
        <w:rPr>
          <w:sz w:val="20"/>
        </w:rPr>
        <w:t>&amp;</w:t>
      </w:r>
      <w:r>
        <w:rPr>
          <w:spacing w:val="7"/>
          <w:sz w:val="20"/>
        </w:rPr>
        <w:t> </w:t>
      </w:r>
      <w:r>
        <w:rPr>
          <w:sz w:val="20"/>
        </w:rPr>
        <w:t>Corporate</w:t>
      </w:r>
      <w:r>
        <w:rPr>
          <w:spacing w:val="1"/>
          <w:sz w:val="20"/>
        </w:rPr>
        <w:t> </w:t>
      </w:r>
      <w:r>
        <w:rPr>
          <w:sz w:val="20"/>
        </w:rPr>
        <w:t>Governance</w:t>
      </w:r>
      <w:r>
        <w:rPr>
          <w:spacing w:val="-2"/>
          <w:sz w:val="20"/>
        </w:rPr>
        <w:t> </w:t>
      </w:r>
      <w:r>
        <w:rPr>
          <w:sz w:val="20"/>
        </w:rPr>
        <w:t>Committee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Separate</w:t>
      </w:r>
      <w:r>
        <w:rPr>
          <w:spacing w:val="-5"/>
          <w:sz w:val="20"/>
        </w:rPr>
        <w:t> </w:t>
      </w:r>
      <w:r>
        <w:rPr>
          <w:sz w:val="20"/>
        </w:rPr>
        <w:t>Board</w:t>
      </w:r>
      <w:r>
        <w:rPr>
          <w:spacing w:val="-4"/>
          <w:sz w:val="20"/>
        </w:rPr>
        <w:t> </w:t>
      </w:r>
      <w:r>
        <w:rPr>
          <w:sz w:val="20"/>
        </w:rPr>
        <w:t>Chairman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CEO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Executive</w:t>
      </w:r>
      <w:r>
        <w:rPr>
          <w:spacing w:val="-6"/>
          <w:sz w:val="20"/>
        </w:rPr>
        <w:t> </w:t>
      </w:r>
      <w:r>
        <w:rPr>
          <w:sz w:val="20"/>
        </w:rPr>
        <w:t>Sessions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Non-Management</w:t>
      </w:r>
      <w:r>
        <w:rPr>
          <w:spacing w:val="-6"/>
          <w:sz w:val="20"/>
        </w:rPr>
        <w:t> </w:t>
      </w:r>
      <w:r>
        <w:rPr>
          <w:sz w:val="20"/>
        </w:rPr>
        <w:t>Directors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Risk</w:t>
      </w:r>
      <w:r>
        <w:rPr>
          <w:spacing w:val="-5"/>
          <w:sz w:val="20"/>
        </w:rPr>
        <w:t> </w:t>
      </w:r>
      <w:r>
        <w:rPr>
          <w:sz w:val="20"/>
        </w:rPr>
        <w:t>Oversight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Board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Committees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pacing w:val="-1"/>
          <w:sz w:val="20"/>
        </w:rPr>
        <w:t>Four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New Directors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Added Within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Last Five</w:t>
      </w:r>
      <w:r>
        <w:rPr>
          <w:spacing w:val="-5"/>
          <w:sz w:val="20"/>
        </w:rPr>
        <w:t> </w:t>
      </w:r>
      <w:r>
        <w:rPr>
          <w:spacing w:val="-1"/>
          <w:sz w:val="20"/>
        </w:rPr>
        <w:t>Years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Ongoing</w:t>
      </w:r>
      <w:r>
        <w:rPr>
          <w:spacing w:val="-7"/>
          <w:sz w:val="20"/>
        </w:rPr>
        <w:t> </w:t>
      </w:r>
      <w:r>
        <w:rPr>
          <w:sz w:val="20"/>
        </w:rPr>
        <w:t>Succession</w:t>
      </w:r>
      <w:r>
        <w:rPr>
          <w:spacing w:val="-7"/>
          <w:sz w:val="20"/>
        </w:rPr>
        <w:t> </w:t>
      </w:r>
      <w:r>
        <w:rPr>
          <w:sz w:val="20"/>
        </w:rPr>
        <w:t>Planning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All</w:t>
      </w:r>
      <w:r>
        <w:rPr>
          <w:spacing w:val="-7"/>
          <w:sz w:val="20"/>
        </w:rPr>
        <w:t> </w:t>
      </w:r>
      <w:r>
        <w:rPr>
          <w:sz w:val="20"/>
        </w:rPr>
        <w:t>Directors</w:t>
      </w:r>
      <w:r>
        <w:rPr>
          <w:spacing w:val="-7"/>
          <w:sz w:val="20"/>
        </w:rPr>
        <w:t> </w:t>
      </w:r>
      <w:r>
        <w:rPr>
          <w:sz w:val="20"/>
        </w:rPr>
        <w:t>Stand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7"/>
          <w:sz w:val="20"/>
        </w:rPr>
        <w:t> </w:t>
      </w:r>
      <w:r>
        <w:rPr>
          <w:sz w:val="20"/>
        </w:rPr>
        <w:t>Election</w:t>
      </w:r>
      <w:r>
        <w:rPr>
          <w:spacing w:val="-7"/>
          <w:sz w:val="20"/>
        </w:rPr>
        <w:t> </w:t>
      </w:r>
      <w:r>
        <w:rPr>
          <w:sz w:val="20"/>
        </w:rPr>
        <w:t>Each</w:t>
      </w:r>
      <w:r>
        <w:rPr>
          <w:spacing w:val="-9"/>
          <w:sz w:val="20"/>
        </w:rPr>
        <w:t> </w:t>
      </w:r>
      <w:r>
        <w:rPr>
          <w:sz w:val="20"/>
        </w:rPr>
        <w:t>Year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Director</w:t>
      </w:r>
      <w:r>
        <w:rPr>
          <w:spacing w:val="-7"/>
          <w:sz w:val="20"/>
        </w:rPr>
        <w:t> </w:t>
      </w:r>
      <w:r>
        <w:rPr>
          <w:sz w:val="20"/>
        </w:rPr>
        <w:t>Resignation</w:t>
      </w:r>
      <w:r>
        <w:rPr>
          <w:spacing w:val="-7"/>
          <w:sz w:val="20"/>
        </w:rPr>
        <w:t> </w:t>
      </w:r>
      <w:r>
        <w:rPr>
          <w:sz w:val="20"/>
        </w:rPr>
        <w:t>Policy</w:t>
      </w:r>
    </w:p>
    <w:p>
      <w:pPr>
        <w:pStyle w:val="ListParagraph"/>
        <w:numPr>
          <w:ilvl w:val="0"/>
          <w:numId w:val="5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Annual</w:t>
      </w:r>
      <w:r>
        <w:rPr>
          <w:spacing w:val="-6"/>
          <w:sz w:val="20"/>
        </w:rPr>
        <w:t> </w:t>
      </w:r>
      <w:r>
        <w:rPr>
          <w:sz w:val="20"/>
        </w:rPr>
        <w:t>Board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Committee</w:t>
      </w:r>
      <w:r>
        <w:rPr>
          <w:spacing w:val="-5"/>
          <w:sz w:val="20"/>
        </w:rPr>
        <w:t> </w:t>
      </w:r>
      <w:r>
        <w:rPr>
          <w:sz w:val="20"/>
        </w:rPr>
        <w:t>Evaluation</w:t>
      </w:r>
      <w:r>
        <w:rPr>
          <w:spacing w:val="-5"/>
          <w:sz w:val="20"/>
        </w:rPr>
        <w:t> </w:t>
      </w:r>
      <w:r>
        <w:rPr>
          <w:sz w:val="20"/>
        </w:rPr>
        <w:t>Process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88" w:after="0"/>
        <w:ind w:left="423" w:right="0" w:hanging="351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pacing w:val="-1"/>
          <w:sz w:val="20"/>
        </w:rPr>
        <w:t>All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Audit Committee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Members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Financial</w:t>
      </w:r>
      <w:r>
        <w:rPr>
          <w:spacing w:val="-1"/>
          <w:sz w:val="20"/>
        </w:rPr>
        <w:t> </w:t>
      </w:r>
      <w:r>
        <w:rPr>
          <w:sz w:val="20"/>
        </w:rPr>
        <w:t>Experts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70" w:after="0"/>
        <w:ind w:left="423" w:right="0" w:hanging="351"/>
        <w:jc w:val="left"/>
        <w:rPr>
          <w:sz w:val="20"/>
        </w:rPr>
      </w:pPr>
      <w:r>
        <w:rPr>
          <w:sz w:val="20"/>
        </w:rPr>
        <w:t>Frequent</w:t>
      </w:r>
      <w:r>
        <w:rPr>
          <w:spacing w:val="-9"/>
          <w:sz w:val="20"/>
        </w:rPr>
        <w:t> </w:t>
      </w:r>
      <w:r>
        <w:rPr>
          <w:sz w:val="20"/>
        </w:rPr>
        <w:t>Stockholder</w:t>
      </w:r>
      <w:r>
        <w:rPr>
          <w:spacing w:val="-8"/>
          <w:sz w:val="20"/>
        </w:rPr>
        <w:t> </w:t>
      </w:r>
      <w:r>
        <w:rPr>
          <w:sz w:val="20"/>
        </w:rPr>
        <w:t>Engagement</w:t>
      </w:r>
      <w:r>
        <w:rPr>
          <w:spacing w:val="-8"/>
          <w:sz w:val="20"/>
        </w:rPr>
        <w:t> </w:t>
      </w:r>
      <w:r>
        <w:rPr>
          <w:sz w:val="20"/>
        </w:rPr>
        <w:t>Efforts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70" w:after="0"/>
        <w:ind w:left="423" w:right="0" w:hanging="351"/>
        <w:jc w:val="left"/>
        <w:rPr>
          <w:sz w:val="20"/>
        </w:rPr>
      </w:pPr>
      <w:r>
        <w:rPr>
          <w:sz w:val="20"/>
        </w:rPr>
        <w:t>No</w:t>
      </w:r>
      <w:r>
        <w:rPr>
          <w:spacing w:val="-4"/>
          <w:sz w:val="20"/>
        </w:rPr>
        <w:t> </w:t>
      </w:r>
      <w:r>
        <w:rPr>
          <w:sz w:val="20"/>
        </w:rPr>
        <w:t>Poison</w:t>
      </w:r>
      <w:r>
        <w:rPr>
          <w:spacing w:val="-3"/>
          <w:sz w:val="20"/>
        </w:rPr>
        <w:t> </w:t>
      </w:r>
      <w:r>
        <w:rPr>
          <w:sz w:val="20"/>
        </w:rPr>
        <w:t>Pill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70" w:after="0"/>
        <w:ind w:left="423" w:right="0" w:hanging="351"/>
        <w:jc w:val="left"/>
        <w:rPr>
          <w:sz w:val="20"/>
        </w:rPr>
      </w:pPr>
      <w:r>
        <w:rPr>
          <w:sz w:val="20"/>
        </w:rPr>
        <w:t>Active</w:t>
      </w:r>
      <w:r>
        <w:rPr>
          <w:spacing w:val="-8"/>
          <w:sz w:val="20"/>
        </w:rPr>
        <w:t> </w:t>
      </w:r>
      <w:r>
        <w:rPr>
          <w:sz w:val="20"/>
        </w:rPr>
        <w:t>Shareholder</w:t>
      </w:r>
      <w:r>
        <w:rPr>
          <w:spacing w:val="-7"/>
          <w:sz w:val="20"/>
        </w:rPr>
        <w:t> </w:t>
      </w:r>
      <w:r>
        <w:rPr>
          <w:sz w:val="20"/>
        </w:rPr>
        <w:t>Engagement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70" w:after="0"/>
        <w:ind w:left="433" w:right="606" w:hanging="360"/>
        <w:jc w:val="left"/>
        <w:rPr>
          <w:sz w:val="20"/>
        </w:rPr>
      </w:pPr>
      <w:r>
        <w:rPr>
          <w:spacing w:val="-1"/>
          <w:sz w:val="20"/>
        </w:rPr>
        <w:t>Ability to Amend Bylaws by a Majority </w:t>
      </w:r>
      <w:r>
        <w:rPr>
          <w:sz w:val="20"/>
        </w:rPr>
        <w:t>Vote by any</w:t>
      </w:r>
      <w:r>
        <w:rPr>
          <w:spacing w:val="-53"/>
          <w:sz w:val="20"/>
        </w:rPr>
        <w:t> </w:t>
      </w:r>
      <w:r>
        <w:rPr>
          <w:sz w:val="20"/>
        </w:rPr>
        <w:t>Stockholder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80" w:after="0"/>
        <w:ind w:left="433" w:right="628" w:hanging="360"/>
        <w:jc w:val="left"/>
        <w:rPr>
          <w:sz w:val="20"/>
        </w:rPr>
      </w:pPr>
      <w:r>
        <w:rPr>
          <w:sz w:val="20"/>
        </w:rPr>
        <w:t>Business</w:t>
      </w:r>
      <w:r>
        <w:rPr>
          <w:spacing w:val="-6"/>
          <w:sz w:val="20"/>
        </w:rPr>
        <w:t> </w:t>
      </w:r>
      <w:r>
        <w:rPr>
          <w:sz w:val="20"/>
        </w:rPr>
        <w:t>Ethics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Conduct</w:t>
      </w:r>
      <w:r>
        <w:rPr>
          <w:spacing w:val="-5"/>
          <w:sz w:val="20"/>
        </w:rPr>
        <w:t> </w:t>
      </w:r>
      <w:r>
        <w:rPr>
          <w:sz w:val="20"/>
        </w:rPr>
        <w:t>Policy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Directors,</w:t>
      </w:r>
      <w:r>
        <w:rPr>
          <w:spacing w:val="-53"/>
          <w:sz w:val="20"/>
        </w:rPr>
        <w:t> </w:t>
      </w:r>
      <w:r>
        <w:rPr>
          <w:sz w:val="20"/>
        </w:rPr>
        <w:t>Officers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Employees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80" w:after="0"/>
        <w:ind w:left="423" w:right="0" w:hanging="351"/>
        <w:jc w:val="left"/>
        <w:rPr>
          <w:sz w:val="20"/>
        </w:rPr>
      </w:pPr>
      <w:r>
        <w:rPr>
          <w:spacing w:val="-1"/>
          <w:sz w:val="20"/>
        </w:rPr>
        <w:t>Prohibition</w:t>
      </w:r>
      <w:r>
        <w:rPr>
          <w:spacing w:val="-13"/>
          <w:sz w:val="20"/>
        </w:rPr>
        <w:t> </w:t>
      </w:r>
      <w:r>
        <w:rPr>
          <w:spacing w:val="-1"/>
          <w:sz w:val="20"/>
        </w:rPr>
        <w:t>Against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Hedging</w:t>
      </w:r>
      <w:r>
        <w:rPr>
          <w:spacing w:val="-2"/>
          <w:sz w:val="20"/>
        </w:rPr>
        <w:t> </w:t>
      </w:r>
      <w:r>
        <w:rPr>
          <w:sz w:val="20"/>
        </w:rPr>
        <w:t>Company</w:t>
      </w:r>
      <w:r>
        <w:rPr>
          <w:spacing w:val="-2"/>
          <w:sz w:val="20"/>
        </w:rPr>
        <w:t> </w:t>
      </w:r>
      <w:r>
        <w:rPr>
          <w:sz w:val="20"/>
        </w:rPr>
        <w:t>Shares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70" w:after="0"/>
        <w:ind w:left="423" w:right="0" w:hanging="351"/>
        <w:jc w:val="left"/>
        <w:rPr>
          <w:sz w:val="20"/>
        </w:rPr>
      </w:pPr>
      <w:r>
        <w:rPr>
          <w:sz w:val="20"/>
        </w:rPr>
        <w:t>Internal</w:t>
      </w:r>
      <w:r>
        <w:rPr>
          <w:spacing w:val="-7"/>
          <w:sz w:val="20"/>
        </w:rPr>
        <w:t> </w:t>
      </w:r>
      <w:r>
        <w:rPr>
          <w:sz w:val="20"/>
        </w:rPr>
        <w:t>Disclosure</w:t>
      </w:r>
      <w:r>
        <w:rPr>
          <w:spacing w:val="-6"/>
          <w:sz w:val="20"/>
        </w:rPr>
        <w:t> </w:t>
      </w:r>
      <w:r>
        <w:rPr>
          <w:sz w:val="20"/>
        </w:rPr>
        <w:t>Committee</w:t>
      </w:r>
      <w:r>
        <w:rPr>
          <w:spacing w:val="-6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Financial</w:t>
      </w:r>
      <w:r>
        <w:rPr>
          <w:spacing w:val="-6"/>
          <w:sz w:val="20"/>
        </w:rPr>
        <w:t> </w:t>
      </w:r>
      <w:r>
        <w:rPr>
          <w:sz w:val="20"/>
        </w:rPr>
        <w:t>Controls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70" w:after="0"/>
        <w:ind w:left="423" w:right="0" w:hanging="351"/>
        <w:jc w:val="left"/>
        <w:rPr>
          <w:sz w:val="20"/>
        </w:rPr>
      </w:pPr>
      <w:r>
        <w:rPr>
          <w:spacing w:val="-1"/>
          <w:sz w:val="20"/>
        </w:rPr>
        <w:t>No</w:t>
      </w:r>
      <w:r>
        <w:rPr>
          <w:spacing w:val="-2"/>
          <w:sz w:val="20"/>
        </w:rPr>
        <w:t> </w:t>
      </w:r>
      <w:r>
        <w:rPr>
          <w:spacing w:val="-1"/>
          <w:sz w:val="20"/>
        </w:rPr>
        <w:t>Employment</w:t>
      </w:r>
      <w:r>
        <w:rPr>
          <w:spacing w:val="-13"/>
          <w:sz w:val="20"/>
        </w:rPr>
        <w:t> </w:t>
      </w:r>
      <w:r>
        <w:rPr>
          <w:sz w:val="20"/>
        </w:rPr>
        <w:t>Agreements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70" w:after="0"/>
        <w:ind w:left="423" w:right="0" w:hanging="351"/>
        <w:jc w:val="left"/>
        <w:rPr>
          <w:sz w:val="20"/>
        </w:rPr>
      </w:pPr>
      <w:r>
        <w:rPr>
          <w:sz w:val="20"/>
        </w:rPr>
        <w:t>Performance</w:t>
      </w:r>
      <w:r>
        <w:rPr>
          <w:spacing w:val="-7"/>
          <w:sz w:val="20"/>
        </w:rPr>
        <w:t> </w:t>
      </w:r>
      <w:r>
        <w:rPr>
          <w:sz w:val="20"/>
        </w:rPr>
        <w:t>Driven</w:t>
      </w:r>
      <w:r>
        <w:rPr>
          <w:spacing w:val="-6"/>
          <w:sz w:val="20"/>
        </w:rPr>
        <w:t> </w:t>
      </w:r>
      <w:r>
        <w:rPr>
          <w:sz w:val="20"/>
        </w:rPr>
        <w:t>Executive</w:t>
      </w:r>
      <w:r>
        <w:rPr>
          <w:spacing w:val="-7"/>
          <w:sz w:val="20"/>
        </w:rPr>
        <w:t> </w:t>
      </w:r>
      <w:r>
        <w:rPr>
          <w:sz w:val="20"/>
        </w:rPr>
        <w:t>Compensation</w:t>
      </w:r>
    </w:p>
    <w:p>
      <w:pPr>
        <w:pStyle w:val="ListParagraph"/>
        <w:numPr>
          <w:ilvl w:val="0"/>
          <w:numId w:val="6"/>
        </w:numPr>
        <w:tabs>
          <w:tab w:pos="424" w:val="left" w:leader="none"/>
        </w:tabs>
        <w:spacing w:line="240" w:lineRule="auto" w:before="70" w:after="0"/>
        <w:ind w:left="433" w:right="1149" w:hanging="360"/>
        <w:jc w:val="left"/>
        <w:rPr>
          <w:sz w:val="20"/>
        </w:rPr>
      </w:pPr>
      <w:r>
        <w:rPr>
          <w:sz w:val="20"/>
        </w:rPr>
        <w:t>Meaningful</w:t>
      </w:r>
      <w:r>
        <w:rPr>
          <w:spacing w:val="-8"/>
          <w:sz w:val="20"/>
        </w:rPr>
        <w:t> </w:t>
      </w:r>
      <w:r>
        <w:rPr>
          <w:sz w:val="20"/>
        </w:rPr>
        <w:t>Share</w:t>
      </w:r>
      <w:r>
        <w:rPr>
          <w:spacing w:val="-7"/>
          <w:sz w:val="20"/>
        </w:rPr>
        <w:t> </w:t>
      </w:r>
      <w:r>
        <w:rPr>
          <w:sz w:val="20"/>
        </w:rPr>
        <w:t>Ownership</w:t>
      </w:r>
      <w:r>
        <w:rPr>
          <w:spacing w:val="-7"/>
          <w:sz w:val="20"/>
        </w:rPr>
        <w:t> </w:t>
      </w:r>
      <w:r>
        <w:rPr>
          <w:sz w:val="20"/>
        </w:rPr>
        <w:t>Guidelines</w:t>
      </w:r>
      <w:r>
        <w:rPr>
          <w:spacing w:val="-7"/>
          <w:sz w:val="20"/>
        </w:rPr>
        <w:t> </w:t>
      </w:r>
      <w:r>
        <w:rPr>
          <w:sz w:val="20"/>
        </w:rPr>
        <w:t>for</w:t>
      </w:r>
      <w:r>
        <w:rPr>
          <w:spacing w:val="-52"/>
          <w:sz w:val="20"/>
        </w:rPr>
        <w:t> </w:t>
      </w:r>
      <w:r>
        <w:rPr>
          <w:sz w:val="20"/>
        </w:rPr>
        <w:t>Directors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Executives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18" w:top="860" w:bottom="280" w:left="740" w:right="700"/>
          <w:cols w:num="2" w:equalWidth="0">
            <w:col w:w="5319" w:space="40"/>
            <w:col w:w="5441"/>
          </w:cols>
        </w:sectPr>
      </w:pPr>
    </w:p>
    <w:p>
      <w:pPr>
        <w:pStyle w:val="BodyText"/>
      </w:pPr>
    </w:p>
    <w:p>
      <w:pPr>
        <w:pStyle w:val="BodyText"/>
        <w:spacing w:before="9"/>
      </w:pPr>
    </w:p>
    <w:p>
      <w:pPr>
        <w:pStyle w:val="BodyText"/>
        <w:spacing w:line="249" w:lineRule="auto"/>
        <w:ind w:left="250" w:right="282"/>
      </w:pPr>
      <w:r>
        <w:rPr/>
        <w:t>The Board values diversity in its broadest sense, reflecting, but not limited to, profession, geography, gender,</w:t>
      </w:r>
      <w:r>
        <w:rPr>
          <w:spacing w:val="1"/>
        </w:rPr>
        <w:t> </w:t>
      </w:r>
      <w:r>
        <w:rPr/>
        <w:t>ethnicity,</w:t>
      </w:r>
      <w:r>
        <w:rPr>
          <w:spacing w:val="-5"/>
        </w:rPr>
        <w:t> </w:t>
      </w:r>
      <w:r>
        <w:rPr/>
        <w:t>skills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experience,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believes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group,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nominees</w:t>
      </w:r>
      <w:r>
        <w:rPr>
          <w:spacing w:val="-5"/>
        </w:rPr>
        <w:t> </w:t>
      </w:r>
      <w:r>
        <w:rPr/>
        <w:t>bring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diverse</w:t>
      </w:r>
      <w:r>
        <w:rPr>
          <w:spacing w:val="-5"/>
        </w:rPr>
        <w:t> </w:t>
      </w:r>
      <w:r>
        <w:rPr/>
        <w:t>range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thought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perspective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Board's</w:t>
      </w:r>
      <w:r>
        <w:rPr>
          <w:spacing w:val="-1"/>
        </w:rPr>
        <w:t> </w:t>
      </w:r>
      <w:r>
        <w:rPr/>
        <w:t>deliberations.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829214</wp:posOffset>
            </wp:positionH>
            <wp:positionV relativeFrom="paragraph">
              <wp:posOffset>149215</wp:posOffset>
            </wp:positionV>
            <wp:extent cx="6016815" cy="1834895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815" cy="183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ind w:left="250"/>
      </w:pPr>
      <w:r>
        <w:rPr/>
        <w:pict>
          <v:shape style="width:513pt;height:21.75pt;mso-position-horizontal-relative:char;mso-position-vertical-relative:line" type="#_x0000_t202" id="docshape10" filled="true" fillcolor="#00539e" stroked="false">
            <w10:anchorlock/>
            <v:textbox inset="0,0,0,0">
              <w:txbxContent>
                <w:p>
                  <w:pPr>
                    <w:spacing w:before="90"/>
                    <w:ind w:left="3065" w:right="3064" w:firstLine="0"/>
                    <w:jc w:val="center"/>
                    <w:rPr>
                      <w:b/>
                      <w:color w:val="000000"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Compensation</w:t>
                  </w:r>
                  <w:r>
                    <w:rPr>
                      <w:b/>
                      <w:color w:val="FFFFFF"/>
                      <w:spacing w:val="-8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Highlights</w:t>
                  </w:r>
                </w:p>
              </w:txbxContent>
            </v:textbox>
            <v:fill type="solid"/>
          </v:shape>
        </w:pict>
      </w:r>
      <w:r>
        <w:rPr/>
      </w:r>
    </w:p>
    <w:p>
      <w:pPr>
        <w:spacing w:after="0"/>
        <w:sectPr>
          <w:type w:val="continuous"/>
          <w:pgSz w:w="12240" w:h="15840"/>
          <w:pgMar w:header="0" w:footer="518" w:top="860" w:bottom="280" w:left="740" w:right="700"/>
        </w:sectPr>
      </w:pP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26" w:after="0"/>
        <w:ind w:left="651" w:right="0" w:hanging="350"/>
        <w:jc w:val="left"/>
        <w:rPr>
          <w:sz w:val="20"/>
        </w:rPr>
      </w:pPr>
      <w:r>
        <w:rPr>
          <w:spacing w:val="-1"/>
          <w:sz w:val="20"/>
        </w:rPr>
        <w:t>No Employment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Agreements</w:t>
      </w:r>
      <w:r>
        <w:rPr>
          <w:sz w:val="20"/>
        </w:rPr>
        <w:t> with</w:t>
      </w:r>
      <w:r>
        <w:rPr>
          <w:spacing w:val="-1"/>
          <w:sz w:val="20"/>
        </w:rPr>
        <w:t> </w:t>
      </w:r>
      <w:r>
        <w:rPr>
          <w:sz w:val="20"/>
        </w:rPr>
        <w:t>NEOs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pacing w:val="-2"/>
          <w:sz w:val="20"/>
        </w:rPr>
        <w:t>Three-Year Vesting</w:t>
      </w:r>
      <w:r>
        <w:rPr>
          <w:spacing w:val="-1"/>
          <w:sz w:val="20"/>
        </w:rPr>
        <w:t> of Restricted Stock</w:t>
      </w:r>
      <w:r>
        <w:rPr>
          <w:spacing w:val="-12"/>
          <w:sz w:val="20"/>
        </w:rPr>
        <w:t> </w:t>
      </w:r>
      <w:r>
        <w:rPr>
          <w:spacing w:val="-1"/>
          <w:sz w:val="20"/>
        </w:rPr>
        <w:t>Awards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pacing w:val="-2"/>
          <w:sz w:val="20"/>
        </w:rPr>
        <w:t>Performance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Target-Based</w:t>
      </w:r>
      <w:r>
        <w:rPr>
          <w:sz w:val="20"/>
        </w:rPr>
        <w:t> </w:t>
      </w:r>
      <w:r>
        <w:rPr>
          <w:spacing w:val="-1"/>
          <w:sz w:val="20"/>
        </w:rPr>
        <w:t>Restricted</w:t>
      </w:r>
      <w:r>
        <w:rPr>
          <w:sz w:val="20"/>
        </w:rPr>
        <w:t> </w:t>
      </w:r>
      <w:r>
        <w:rPr>
          <w:spacing w:val="-1"/>
          <w:sz w:val="20"/>
        </w:rPr>
        <w:t>Stock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Awards</w:t>
      </w:r>
    </w:p>
    <w:p>
      <w:pPr>
        <w:pStyle w:val="ListParagraph"/>
        <w:numPr>
          <w:ilvl w:val="0"/>
          <w:numId w:val="6"/>
        </w:numPr>
        <w:tabs>
          <w:tab w:pos="457" w:val="left" w:leader="none"/>
        </w:tabs>
        <w:spacing w:line="240" w:lineRule="auto" w:before="26" w:after="0"/>
        <w:ind w:left="457" w:right="0" w:hanging="350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Stock</w:t>
      </w:r>
      <w:r>
        <w:rPr>
          <w:spacing w:val="-5"/>
          <w:sz w:val="20"/>
        </w:rPr>
        <w:t> </w:t>
      </w:r>
      <w:r>
        <w:rPr>
          <w:sz w:val="20"/>
        </w:rPr>
        <w:t>Ownership</w:t>
      </w:r>
      <w:r>
        <w:rPr>
          <w:spacing w:val="-5"/>
          <w:sz w:val="20"/>
        </w:rPr>
        <w:t> </w:t>
      </w:r>
      <w:r>
        <w:rPr>
          <w:sz w:val="20"/>
        </w:rPr>
        <w:t>Guidelines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Board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NEOs</w:t>
      </w:r>
    </w:p>
    <w:p>
      <w:pPr>
        <w:pStyle w:val="ListParagraph"/>
        <w:numPr>
          <w:ilvl w:val="0"/>
          <w:numId w:val="6"/>
        </w:numPr>
        <w:tabs>
          <w:tab w:pos="457" w:val="left" w:leader="none"/>
        </w:tabs>
        <w:spacing w:line="240" w:lineRule="auto" w:before="70" w:after="0"/>
        <w:ind w:left="457" w:right="0" w:hanging="350"/>
        <w:jc w:val="left"/>
        <w:rPr>
          <w:sz w:val="20"/>
        </w:rPr>
      </w:pPr>
      <w:r>
        <w:rPr>
          <w:sz w:val="20"/>
        </w:rPr>
        <w:t>Performance-Based</w:t>
      </w:r>
      <w:r>
        <w:rPr>
          <w:spacing w:val="-7"/>
          <w:sz w:val="20"/>
        </w:rPr>
        <w:t> </w:t>
      </w:r>
      <w:r>
        <w:rPr>
          <w:sz w:val="20"/>
        </w:rPr>
        <w:t>Cash</w:t>
      </w:r>
      <w:r>
        <w:rPr>
          <w:spacing w:val="-7"/>
          <w:sz w:val="20"/>
        </w:rPr>
        <w:t> </w:t>
      </w:r>
      <w:r>
        <w:rPr>
          <w:sz w:val="20"/>
        </w:rPr>
        <w:t>Bonus</w:t>
      </w:r>
      <w:r>
        <w:rPr>
          <w:spacing w:val="-7"/>
          <w:sz w:val="20"/>
        </w:rPr>
        <w:t> </w:t>
      </w:r>
      <w:r>
        <w:rPr>
          <w:sz w:val="20"/>
        </w:rPr>
        <w:t>Compensation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18" w:top="860" w:bottom="280" w:left="740" w:right="700"/>
          <w:cols w:num="2" w:equalWidth="0">
            <w:col w:w="5255" w:space="40"/>
            <w:col w:w="5505"/>
          </w:cols>
        </w:sectPr>
      </w:pPr>
    </w:p>
    <w:p>
      <w:pPr>
        <w:pStyle w:val="Heading1"/>
        <w:ind w:left="65" w:right="98"/>
      </w:pPr>
      <w:bookmarkStart w:name="Our Nature:  Uniting People, Places and " w:id="7"/>
      <w:bookmarkEnd w:id="7"/>
      <w:r>
        <w:rPr>
          <w:b w:val="0"/>
        </w:rPr>
      </w:r>
      <w:bookmarkStart w:name="_bookmark1" w:id="8"/>
      <w:bookmarkEnd w:id="8"/>
      <w:r>
        <w:rPr>
          <w:b w:val="0"/>
        </w:rPr>
      </w:r>
      <w:r>
        <w:rPr>
          <w:color w:val="00539E"/>
        </w:rPr>
        <w:t>OUR</w:t>
      </w:r>
      <w:r>
        <w:rPr>
          <w:color w:val="00539E"/>
          <w:spacing w:val="-3"/>
        </w:rPr>
        <w:t> </w:t>
      </w:r>
      <w:r>
        <w:rPr>
          <w:color w:val="00539E"/>
        </w:rPr>
        <w:t>NATURE:</w:t>
      </w:r>
      <w:r>
        <w:rPr>
          <w:color w:val="00539E"/>
          <w:spacing w:val="-2"/>
        </w:rPr>
        <w:t> </w:t>
      </w:r>
      <w:r>
        <w:rPr>
          <w:color w:val="00539E"/>
        </w:rPr>
        <w:t>UNITING</w:t>
      </w:r>
      <w:r>
        <w:rPr>
          <w:color w:val="00539E"/>
          <w:spacing w:val="-2"/>
        </w:rPr>
        <w:t> </w:t>
      </w:r>
      <w:r>
        <w:rPr>
          <w:color w:val="00539E"/>
        </w:rPr>
        <w:t>PEOPLE,</w:t>
      </w:r>
      <w:r>
        <w:rPr>
          <w:color w:val="00539E"/>
          <w:spacing w:val="-3"/>
        </w:rPr>
        <w:t> </w:t>
      </w:r>
      <w:r>
        <w:rPr>
          <w:color w:val="00539E"/>
        </w:rPr>
        <w:t>PLACES</w:t>
      </w:r>
      <w:r>
        <w:rPr>
          <w:color w:val="00539E"/>
          <w:spacing w:val="-2"/>
        </w:rPr>
        <w:t> </w:t>
      </w:r>
      <w:r>
        <w:rPr>
          <w:color w:val="00539E"/>
        </w:rPr>
        <w:t>AND</w:t>
      </w:r>
      <w:r>
        <w:rPr>
          <w:color w:val="00539E"/>
          <w:spacing w:val="-2"/>
        </w:rPr>
        <w:t> </w:t>
      </w:r>
      <w:r>
        <w:rPr>
          <w:color w:val="00539E"/>
        </w:rPr>
        <w:t>PURPOSE</w:t>
      </w:r>
    </w:p>
    <w:p>
      <w:pPr>
        <w:pStyle w:val="BodyText"/>
        <w:spacing w:before="3"/>
        <w:rPr>
          <w:b/>
          <w:sz w:val="38"/>
        </w:rPr>
      </w:pPr>
    </w:p>
    <w:p>
      <w:pPr>
        <w:pStyle w:val="Heading2"/>
        <w:spacing w:before="1"/>
        <w:ind w:left="2301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1617217</wp:posOffset>
            </wp:positionH>
            <wp:positionV relativeFrom="paragraph">
              <wp:posOffset>-56440</wp:posOffset>
            </wp:positionV>
            <wp:extent cx="314325" cy="20002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539E"/>
        </w:rPr>
        <w:t>Environmental,</w:t>
      </w:r>
      <w:r>
        <w:rPr>
          <w:color w:val="00539E"/>
          <w:spacing w:val="-3"/>
        </w:rPr>
        <w:t> </w:t>
      </w:r>
      <w:r>
        <w:rPr>
          <w:color w:val="00539E"/>
        </w:rPr>
        <w:t>Social</w:t>
      </w:r>
      <w:r>
        <w:rPr>
          <w:color w:val="00539E"/>
          <w:spacing w:val="-3"/>
        </w:rPr>
        <w:t> </w:t>
      </w:r>
      <w:r>
        <w:rPr>
          <w:color w:val="00539E"/>
        </w:rPr>
        <w:t>and</w:t>
      </w:r>
      <w:r>
        <w:rPr>
          <w:color w:val="00539E"/>
          <w:spacing w:val="-2"/>
        </w:rPr>
        <w:t> </w:t>
      </w:r>
      <w:r>
        <w:rPr>
          <w:color w:val="00539E"/>
        </w:rPr>
        <w:t>Governance</w:t>
      </w:r>
      <w:r>
        <w:rPr>
          <w:color w:val="00539E"/>
          <w:spacing w:val="-3"/>
        </w:rPr>
        <w:t> </w:t>
      </w:r>
      <w:r>
        <w:rPr>
          <w:color w:val="00539E"/>
        </w:rPr>
        <w:t>("ESG")</w:t>
      </w:r>
      <w:r>
        <w:rPr>
          <w:color w:val="00539E"/>
          <w:spacing w:val="-2"/>
        </w:rPr>
        <w:t> </w:t>
      </w:r>
      <w:r>
        <w:rPr>
          <w:color w:val="00539E"/>
        </w:rPr>
        <w:t>Highlights</w:t>
      </w:r>
    </w:p>
    <w:p>
      <w:pPr>
        <w:pStyle w:val="BodyText"/>
        <w:spacing w:line="249" w:lineRule="auto" w:before="80"/>
        <w:ind w:left="250" w:right="608"/>
      </w:pPr>
      <w:r>
        <w:rPr/>
        <w:t>At ELS, sustainability is at the core of our nature. Our sustainability strategy is in "Our Nature: Uniting People,</w:t>
      </w:r>
      <w:r>
        <w:rPr>
          <w:spacing w:val="1"/>
        </w:rPr>
        <w:t> </w:t>
      </w:r>
      <w:r>
        <w:rPr/>
        <w:t>Places and Purpose". While rooted in protecting and enhancing the environments where we live, work and play,</w:t>
      </w:r>
      <w:r>
        <w:rPr>
          <w:spacing w:val="-53"/>
        </w:rPr>
        <w:t> </w:t>
      </w:r>
      <w:r>
        <w:rPr/>
        <w:t>Our Nature also speaks to our culture of opportunity, inclusivity, caring, transparency and respect. The tagline,</w:t>
      </w:r>
      <w:r>
        <w:rPr>
          <w:spacing w:val="1"/>
        </w:rPr>
        <w:t> </w:t>
      </w:r>
      <w:r>
        <w:rPr/>
        <w:t>"Uniting</w:t>
      </w:r>
      <w:r>
        <w:rPr>
          <w:spacing w:val="-2"/>
        </w:rPr>
        <w:t> </w:t>
      </w:r>
      <w:r>
        <w:rPr/>
        <w:t>People,</w:t>
      </w:r>
      <w:r>
        <w:rPr>
          <w:spacing w:val="-2"/>
        </w:rPr>
        <w:t> </w:t>
      </w:r>
      <w:r>
        <w:rPr/>
        <w:t>Places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Purpose,"</w:t>
      </w:r>
      <w:r>
        <w:rPr>
          <w:spacing w:val="-2"/>
        </w:rPr>
        <w:t> </w:t>
      </w:r>
      <w:r>
        <w:rPr/>
        <w:t>embodies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tenets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Nature:</w:t>
      </w:r>
    </w:p>
    <w:p>
      <w:pPr>
        <w:pStyle w:val="BodyText"/>
        <w:spacing w:before="1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1224690</wp:posOffset>
            </wp:positionH>
            <wp:positionV relativeFrom="paragraph">
              <wp:posOffset>140585</wp:posOffset>
            </wp:positionV>
            <wp:extent cx="5375192" cy="1164431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192" cy="116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49" w:lineRule="auto"/>
        <w:ind w:left="250" w:right="376"/>
      </w:pPr>
      <w:r>
        <w:rPr/>
        <w:t>Information on our sustainability practices can be found in our 2020 Sustainability Report, which includes</w:t>
      </w:r>
      <w:r>
        <w:rPr>
          <w:spacing w:val="1"/>
        </w:rPr>
        <w:t> </w:t>
      </w:r>
      <w:r>
        <w:rPr/>
        <w:t>disclosures that reference the Global Reporting Initiative (GRI) standards.</w:t>
      </w:r>
      <w:r>
        <w:rPr>
          <w:spacing w:val="1"/>
        </w:rPr>
        <w:t> </w:t>
      </w:r>
      <w:r>
        <w:rPr/>
        <w:t>Information on our environmental</w:t>
      </w:r>
      <w:r>
        <w:rPr>
          <w:spacing w:val="1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methodology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2018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2020</w:t>
      </w:r>
      <w:r>
        <w:rPr>
          <w:spacing w:val="-5"/>
        </w:rPr>
        <w:t> </w:t>
      </w:r>
      <w:r>
        <w:rPr/>
        <w:t>energy,</w:t>
      </w:r>
      <w:r>
        <w:rPr>
          <w:spacing w:val="-5"/>
        </w:rPr>
        <w:t> </w:t>
      </w:r>
      <w:r>
        <w:rPr/>
        <w:t>greenhouse</w:t>
      </w:r>
      <w:r>
        <w:rPr>
          <w:spacing w:val="-5"/>
        </w:rPr>
        <w:t> </w:t>
      </w:r>
      <w:r>
        <w:rPr/>
        <w:t>gas</w:t>
      </w:r>
      <w:r>
        <w:rPr>
          <w:spacing w:val="-6"/>
        </w:rPr>
        <w:t> </w:t>
      </w:r>
      <w:r>
        <w:rPr/>
        <w:t>emissions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water</w:t>
      </w:r>
      <w:r>
        <w:rPr>
          <w:spacing w:val="-5"/>
        </w:rPr>
        <w:t> </w:t>
      </w:r>
      <w:r>
        <w:rPr/>
        <w:t>metrics</w:t>
      </w:r>
      <w:r>
        <w:rPr>
          <w:spacing w:val="-6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found</w:t>
      </w:r>
      <w:r>
        <w:rPr>
          <w:spacing w:val="1"/>
        </w:rPr>
        <w:t> </w:t>
      </w:r>
      <w:r>
        <w:rPr/>
        <w:t>in our Environmental Performance Report. These reports and other sustainability policies and collaborations are</w:t>
      </w:r>
      <w:r>
        <w:rPr>
          <w:spacing w:val="1"/>
        </w:rPr>
        <w:t> </w:t>
      </w:r>
      <w:r>
        <w:rPr/>
        <w:t>available at </w:t>
      </w:r>
      <w:hyperlink r:id="rId17">
        <w:r>
          <w:rPr/>
          <w:t>w</w:t>
        </w:r>
        <w:r>
          <w:rPr>
            <w:i/>
          </w:rPr>
          <w:t>ww.equitylifestyleproperties.com/sustainability. </w:t>
        </w:r>
      </w:hyperlink>
      <w:r>
        <w:rPr/>
        <w:t>Such information is not considered part of, nor</w:t>
      </w:r>
      <w:r>
        <w:rPr>
          <w:spacing w:val="1"/>
        </w:rPr>
        <w:t> </w:t>
      </w:r>
      <w:r>
        <w:rPr/>
        <w:t>incorporated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into,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Proxy</w:t>
      </w:r>
      <w:r>
        <w:rPr>
          <w:spacing w:val="-1"/>
        </w:rPr>
        <w:t> </w:t>
      </w:r>
      <w:r>
        <w:rPr/>
        <w:t>Statement.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49" w:lineRule="auto"/>
        <w:ind w:left="250" w:right="402"/>
      </w:pPr>
      <w:r>
        <w:rPr/>
        <w:t>ELS’ commitment to sustainability embraces a holistic approach which aims to support our business model,</w:t>
      </w:r>
      <w:r>
        <w:rPr>
          <w:spacing w:val="1"/>
        </w:rPr>
        <w:t> </w:t>
      </w:r>
      <w:r>
        <w:rPr/>
        <w:t>minimize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environmental</w:t>
      </w:r>
      <w:r>
        <w:rPr>
          <w:spacing w:val="-4"/>
        </w:rPr>
        <w:t> </w:t>
      </w:r>
      <w:r>
        <w:rPr/>
        <w:t>impact,</w:t>
      </w:r>
      <w:r>
        <w:rPr>
          <w:spacing w:val="-5"/>
        </w:rPr>
        <w:t> </w:t>
      </w:r>
      <w:r>
        <w:rPr/>
        <w:t>maintain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safe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healthy</w:t>
      </w:r>
      <w:r>
        <w:rPr>
          <w:spacing w:val="-4"/>
        </w:rPr>
        <w:t> </w:t>
      </w:r>
      <w:r>
        <w:rPr/>
        <w:t>workplace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uphold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high</w:t>
      </w:r>
      <w:r>
        <w:rPr>
          <w:spacing w:val="-5"/>
        </w:rPr>
        <w:t> </w:t>
      </w:r>
      <w:r>
        <w:rPr/>
        <w:t>standard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business</w:t>
      </w:r>
      <w:r>
        <w:rPr>
          <w:spacing w:val="1"/>
        </w:rPr>
        <w:t> </w:t>
      </w:r>
      <w:r>
        <w:rPr/>
        <w:t>ethics and conduct. We understand the value of continuing to focus on sustainable practices and the highest</w:t>
      </w:r>
      <w:r>
        <w:rPr>
          <w:spacing w:val="1"/>
        </w:rPr>
        <w:t> </w:t>
      </w:r>
      <w:r>
        <w:rPr/>
        <w:t>standard of business ethics and practices, as they are critical to our overall success and building long-term</w:t>
      </w:r>
      <w:r>
        <w:rPr>
          <w:spacing w:val="1"/>
        </w:rPr>
        <w:t> </w:t>
      </w:r>
      <w:r>
        <w:rPr/>
        <w:t>stakeholder value. With a dedicated Sustainability team, we are committed to incorporating ESG principles into our</w:t>
      </w:r>
      <w:r>
        <w:rPr>
          <w:spacing w:val="-53"/>
        </w:rPr>
        <w:t> </w:t>
      </w:r>
      <w:r>
        <w:rPr/>
        <w:t>business</w:t>
      </w:r>
      <w:r>
        <w:rPr>
          <w:spacing w:val="-2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collaboration</w:t>
      </w:r>
      <w:r>
        <w:rPr>
          <w:spacing w:val="-1"/>
        </w:rPr>
        <w:t> </w:t>
      </w:r>
      <w:r>
        <w:rPr/>
        <w:t>with</w:t>
      </w:r>
      <w:r>
        <w:rPr>
          <w:spacing w:val="-2"/>
        </w:rPr>
        <w:t> </w:t>
      </w:r>
      <w:r>
        <w:rPr/>
        <w:t>heads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departments.</w:t>
      </w: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249" w:lineRule="auto"/>
        <w:ind w:left="250" w:right="282"/>
      </w:pPr>
      <w:r>
        <w:rPr/>
        <w:t>In</w:t>
      </w:r>
      <w:r>
        <w:rPr>
          <w:spacing w:val="-8"/>
        </w:rPr>
        <w:t> </w:t>
      </w:r>
      <w:r>
        <w:rPr/>
        <w:t>2019,</w:t>
      </w:r>
      <w:r>
        <w:rPr>
          <w:spacing w:val="-7"/>
        </w:rPr>
        <w:t> </w:t>
      </w:r>
      <w:r>
        <w:rPr/>
        <w:t>we</w:t>
      </w:r>
      <w:r>
        <w:rPr>
          <w:spacing w:val="-7"/>
        </w:rPr>
        <w:t> </w:t>
      </w:r>
      <w:r>
        <w:rPr/>
        <w:t>formed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Environmental,</w:t>
      </w:r>
      <w:r>
        <w:rPr>
          <w:spacing w:val="-7"/>
        </w:rPr>
        <w:t> </w:t>
      </w:r>
      <w:r>
        <w:rPr/>
        <w:t>Social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Governance</w:t>
      </w:r>
      <w:r>
        <w:rPr>
          <w:spacing w:val="-10"/>
        </w:rPr>
        <w:t> </w:t>
      </w:r>
      <w:r>
        <w:rPr/>
        <w:t>Taskforce</w:t>
      </w:r>
      <w:r>
        <w:rPr>
          <w:spacing w:val="-7"/>
        </w:rPr>
        <w:t> </w:t>
      </w:r>
      <w:r>
        <w:rPr/>
        <w:t>(“ESG</w:t>
      </w:r>
      <w:r>
        <w:rPr>
          <w:spacing w:val="-10"/>
        </w:rPr>
        <w:t> </w:t>
      </w:r>
      <w:r>
        <w:rPr/>
        <w:t>Taskforce”)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support</w:t>
      </w:r>
      <w:r>
        <w:rPr>
          <w:spacing w:val="-7"/>
        </w:rPr>
        <w:t> </w:t>
      </w:r>
      <w:r>
        <w:rPr/>
        <w:t>our</w:t>
      </w:r>
      <w:r>
        <w:rPr>
          <w:spacing w:val="-7"/>
        </w:rPr>
        <w:t> </w:t>
      </w:r>
      <w:r>
        <w:rPr/>
        <w:t>on-going</w:t>
      </w:r>
      <w:r>
        <w:rPr>
          <w:spacing w:val="1"/>
        </w:rPr>
        <w:t> </w:t>
      </w:r>
      <w:r>
        <w:rPr/>
        <w:t>commitment to environmental, social, governance and other public policy matters relevant to us (collectively “ESG</w:t>
      </w:r>
      <w:r>
        <w:rPr>
          <w:spacing w:val="1"/>
        </w:rPr>
        <w:t> </w:t>
      </w:r>
      <w:r>
        <w:rPr/>
        <w:t>Matters”). Led by the sustainability team and overseen by our Chief Operating Officer, the ESG Taskforce is</w:t>
      </w:r>
      <w:r>
        <w:rPr>
          <w:spacing w:val="1"/>
        </w:rPr>
        <w:t> </w:t>
      </w:r>
      <w:r>
        <w:rPr/>
        <w:t>comprised of a cross-functional team of employees from asset management, investor relations, compliance,</w:t>
      </w:r>
      <w:r>
        <w:rPr>
          <w:spacing w:val="1"/>
        </w:rPr>
        <w:t> </w:t>
      </w:r>
      <w:r>
        <w:rPr/>
        <w:t>communications, operations, marketing, risk management, financial reporting, legal and human resources that</w:t>
      </w:r>
      <w:r>
        <w:rPr>
          <w:spacing w:val="1"/>
        </w:rPr>
        <w:t> </w:t>
      </w:r>
      <w:r>
        <w:rPr/>
        <w:t>assists</w:t>
      </w:r>
      <w:r>
        <w:rPr>
          <w:spacing w:val="-2"/>
        </w:rPr>
        <w:t> </w:t>
      </w:r>
      <w:r>
        <w:rPr/>
        <w:t>Company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Board</w:t>
      </w:r>
      <w:r>
        <w:rPr>
          <w:spacing w:val="-1"/>
        </w:rPr>
        <w:t> </w:t>
      </w:r>
      <w:r>
        <w:rPr/>
        <w:t>in:</w:t>
      </w:r>
    </w:p>
    <w:p>
      <w:pPr>
        <w:pStyle w:val="BodyText"/>
        <w:spacing w:before="3"/>
        <w:rPr>
          <w:sz w:val="28"/>
        </w:rPr>
      </w:pPr>
    </w:p>
    <w:p>
      <w:pPr>
        <w:pStyle w:val="ListParagraph"/>
        <w:numPr>
          <w:ilvl w:val="0"/>
          <w:numId w:val="7"/>
        </w:numPr>
        <w:tabs>
          <w:tab w:pos="1001" w:val="left" w:leader="none"/>
          <w:tab w:pos="1002" w:val="left" w:leader="none"/>
        </w:tabs>
        <w:spacing w:line="240" w:lineRule="auto" w:before="1" w:after="0"/>
        <w:ind w:left="1001" w:right="0" w:hanging="572"/>
        <w:jc w:val="left"/>
        <w:rPr>
          <w:sz w:val="20"/>
        </w:rPr>
      </w:pPr>
      <w:r>
        <w:rPr>
          <w:sz w:val="20"/>
        </w:rPr>
        <w:t>Setting</w:t>
      </w:r>
      <w:r>
        <w:rPr>
          <w:spacing w:val="-6"/>
          <w:sz w:val="20"/>
        </w:rPr>
        <w:t> </w:t>
      </w:r>
      <w:r>
        <w:rPr>
          <w:sz w:val="20"/>
        </w:rPr>
        <w:t>general</w:t>
      </w:r>
      <w:r>
        <w:rPr>
          <w:spacing w:val="-5"/>
          <w:sz w:val="20"/>
        </w:rPr>
        <w:t> </w:t>
      </w:r>
      <w:r>
        <w:rPr>
          <w:sz w:val="20"/>
        </w:rPr>
        <w:t>strategy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objectives</w:t>
      </w:r>
      <w:r>
        <w:rPr>
          <w:spacing w:val="-5"/>
          <w:sz w:val="20"/>
        </w:rPr>
        <w:t> </w:t>
      </w:r>
      <w:r>
        <w:rPr>
          <w:sz w:val="20"/>
        </w:rPr>
        <w:t>relating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ESG</w:t>
      </w:r>
      <w:r>
        <w:rPr>
          <w:spacing w:val="-5"/>
          <w:sz w:val="20"/>
        </w:rPr>
        <w:t> </w:t>
      </w:r>
      <w:r>
        <w:rPr>
          <w:sz w:val="20"/>
        </w:rPr>
        <w:t>matters;</w:t>
      </w:r>
    </w:p>
    <w:p>
      <w:pPr>
        <w:pStyle w:val="ListParagraph"/>
        <w:numPr>
          <w:ilvl w:val="0"/>
          <w:numId w:val="7"/>
        </w:numPr>
        <w:tabs>
          <w:tab w:pos="1001" w:val="left" w:leader="none"/>
          <w:tab w:pos="1002" w:val="left" w:leader="none"/>
        </w:tabs>
        <w:spacing w:line="240" w:lineRule="auto" w:before="28" w:after="0"/>
        <w:ind w:left="1001" w:right="0" w:hanging="572"/>
        <w:jc w:val="left"/>
        <w:rPr>
          <w:sz w:val="20"/>
        </w:rPr>
      </w:pPr>
      <w:r>
        <w:rPr>
          <w:sz w:val="20"/>
        </w:rPr>
        <w:t>Developing,</w:t>
      </w:r>
      <w:r>
        <w:rPr>
          <w:spacing w:val="-6"/>
          <w:sz w:val="20"/>
        </w:rPr>
        <w:t> </w:t>
      </w:r>
      <w:r>
        <w:rPr>
          <w:sz w:val="20"/>
        </w:rPr>
        <w:t>implementing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monitoring</w:t>
      </w:r>
      <w:r>
        <w:rPr>
          <w:spacing w:val="-6"/>
          <w:sz w:val="20"/>
        </w:rPr>
        <w:t> </w:t>
      </w:r>
      <w:r>
        <w:rPr>
          <w:sz w:val="20"/>
        </w:rPr>
        <w:t>initiatives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policies</w:t>
      </w:r>
      <w:r>
        <w:rPr>
          <w:spacing w:val="-6"/>
          <w:sz w:val="20"/>
        </w:rPr>
        <w:t> </w:t>
      </w:r>
      <w:r>
        <w:rPr>
          <w:sz w:val="20"/>
        </w:rPr>
        <w:t>based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that</w:t>
      </w:r>
      <w:r>
        <w:rPr>
          <w:spacing w:val="-6"/>
          <w:sz w:val="20"/>
        </w:rPr>
        <w:t> </w:t>
      </w:r>
      <w:r>
        <w:rPr>
          <w:sz w:val="20"/>
        </w:rPr>
        <w:t>strategy;</w:t>
      </w:r>
    </w:p>
    <w:p>
      <w:pPr>
        <w:pStyle w:val="ListParagraph"/>
        <w:numPr>
          <w:ilvl w:val="0"/>
          <w:numId w:val="7"/>
        </w:numPr>
        <w:tabs>
          <w:tab w:pos="1001" w:val="left" w:leader="none"/>
          <w:tab w:pos="1002" w:val="left" w:leader="none"/>
        </w:tabs>
        <w:spacing w:line="240" w:lineRule="auto" w:before="29" w:after="0"/>
        <w:ind w:left="1001" w:right="0" w:hanging="572"/>
        <w:jc w:val="left"/>
        <w:rPr>
          <w:sz w:val="20"/>
        </w:rPr>
      </w:pPr>
      <w:r>
        <w:rPr>
          <w:sz w:val="20"/>
        </w:rPr>
        <w:t>Overseeing</w:t>
      </w:r>
      <w:r>
        <w:rPr>
          <w:spacing w:val="-6"/>
          <w:sz w:val="20"/>
        </w:rPr>
        <w:t> </w:t>
      </w:r>
      <w:r>
        <w:rPr>
          <w:sz w:val="20"/>
        </w:rPr>
        <w:t>communications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employees,</w:t>
      </w:r>
      <w:r>
        <w:rPr>
          <w:spacing w:val="-5"/>
          <w:sz w:val="20"/>
        </w:rPr>
        <w:t> </w:t>
      </w:r>
      <w:r>
        <w:rPr>
          <w:sz w:val="20"/>
        </w:rPr>
        <w:t>investors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stakeholders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respect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ESG</w:t>
      </w:r>
      <w:r>
        <w:rPr>
          <w:spacing w:val="-5"/>
          <w:sz w:val="20"/>
        </w:rPr>
        <w:t> </w:t>
      </w:r>
      <w:r>
        <w:rPr>
          <w:sz w:val="20"/>
        </w:rPr>
        <w:t>matters;</w:t>
      </w:r>
      <w:r>
        <w:rPr>
          <w:spacing w:val="-6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0"/>
          <w:numId w:val="7"/>
        </w:numPr>
        <w:tabs>
          <w:tab w:pos="1001" w:val="left" w:leader="none"/>
          <w:tab w:pos="1002" w:val="left" w:leader="none"/>
        </w:tabs>
        <w:spacing w:line="259" w:lineRule="auto" w:before="29" w:after="0"/>
        <w:ind w:left="970" w:right="469" w:hanging="540"/>
        <w:jc w:val="left"/>
        <w:rPr>
          <w:sz w:val="20"/>
        </w:rPr>
      </w:pPr>
      <w:r>
        <w:rPr>
          <w:sz w:val="20"/>
        </w:rPr>
        <w:t>Monitoring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assessing</w:t>
      </w:r>
      <w:r>
        <w:rPr>
          <w:spacing w:val="-5"/>
          <w:sz w:val="20"/>
        </w:rPr>
        <w:t> </w:t>
      </w:r>
      <w:r>
        <w:rPr>
          <w:sz w:val="20"/>
        </w:rPr>
        <w:t>risks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opportunities</w:t>
      </w:r>
      <w:r>
        <w:rPr>
          <w:spacing w:val="-6"/>
          <w:sz w:val="20"/>
        </w:rPr>
        <w:t> </w:t>
      </w:r>
      <w:r>
        <w:rPr>
          <w:sz w:val="20"/>
        </w:rPr>
        <w:t>relating</w:t>
      </w:r>
      <w:r>
        <w:rPr>
          <w:spacing w:val="-5"/>
          <w:sz w:val="20"/>
        </w:rPr>
        <w:t> </w:t>
      </w:r>
      <w:r>
        <w:rPr>
          <w:sz w:val="20"/>
        </w:rPr>
        <w:t>to,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improving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Company's</w:t>
      </w:r>
      <w:r>
        <w:rPr>
          <w:spacing w:val="-6"/>
          <w:sz w:val="20"/>
        </w:rPr>
        <w:t> </w:t>
      </w:r>
      <w:r>
        <w:rPr>
          <w:sz w:val="20"/>
        </w:rPr>
        <w:t>understanding</w:t>
      </w:r>
      <w:r>
        <w:rPr>
          <w:spacing w:val="1"/>
          <w:sz w:val="20"/>
        </w:rPr>
        <w:t> </w:t>
      </w:r>
      <w:r>
        <w:rPr>
          <w:sz w:val="20"/>
        </w:rPr>
        <w:t>of,</w:t>
      </w:r>
      <w:r>
        <w:rPr>
          <w:spacing w:val="-2"/>
          <w:sz w:val="20"/>
        </w:rPr>
        <w:t> </w:t>
      </w:r>
      <w:r>
        <w:rPr>
          <w:sz w:val="20"/>
        </w:rPr>
        <w:t>ESG</w:t>
      </w:r>
      <w:r>
        <w:rPr>
          <w:spacing w:val="-1"/>
          <w:sz w:val="20"/>
        </w:rPr>
        <w:t> </w:t>
      </w:r>
      <w:r>
        <w:rPr>
          <w:sz w:val="20"/>
        </w:rPr>
        <w:t>matters.</w:t>
      </w:r>
    </w:p>
    <w:p>
      <w:pPr>
        <w:pStyle w:val="BodyText"/>
        <w:spacing w:line="249" w:lineRule="auto" w:before="191"/>
        <w:ind w:left="250"/>
      </w:pPr>
      <w:r>
        <w:rPr/>
        <w:t>On a quarterly basis, the ESG Taskforce reports on ESG Matters to the Compensation, Nominating and Corporate</w:t>
      </w:r>
      <w:r>
        <w:rPr>
          <w:spacing w:val="1"/>
        </w:rPr>
        <w:t> </w:t>
      </w:r>
      <w:r>
        <w:rPr/>
        <w:t>Governance Committee (the "Compensation Committee") of the Board of Directors and senior management. The</w:t>
      </w:r>
      <w:r>
        <w:rPr>
          <w:spacing w:val="1"/>
        </w:rPr>
        <w:t> </w:t>
      </w:r>
      <w:r>
        <w:rPr>
          <w:spacing w:val="-1"/>
        </w:rPr>
        <w:t>Compensation Committee is responsible for the review of our ESG strategy, </w:t>
      </w:r>
      <w:r>
        <w:rPr/>
        <w:t>initiatives and policies. Additionally, the</w:t>
      </w:r>
      <w:r>
        <w:rPr>
          <w:spacing w:val="-53"/>
        </w:rPr>
        <w:t> </w:t>
      </w:r>
      <w:r>
        <w:rPr/>
        <w:t>Audit Committee is responsible for the discussion and review of policies with respect to risk assessment and risk</w:t>
      </w:r>
      <w:r>
        <w:rPr>
          <w:spacing w:val="1"/>
        </w:rPr>
        <w:t> </w:t>
      </w:r>
      <w:r>
        <w:rPr/>
        <w:t>management, including, but not limited to, human rights and ESG risks. The Strategic Planning Committee further</w:t>
      </w:r>
      <w:r>
        <w:rPr>
          <w:spacing w:val="1"/>
        </w:rPr>
        <w:t> </w:t>
      </w:r>
      <w:r>
        <w:rPr/>
        <w:t>assists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Board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assessing</w:t>
      </w:r>
      <w:r>
        <w:rPr>
          <w:spacing w:val="-1"/>
        </w:rPr>
        <w:t> </w:t>
      </w:r>
      <w:r>
        <w:rPr/>
        <w:t>ESG</w:t>
      </w:r>
      <w:r>
        <w:rPr>
          <w:spacing w:val="-2"/>
        </w:rPr>
        <w:t> </w:t>
      </w:r>
      <w:r>
        <w:rPr/>
        <w:t>strategies.</w:t>
      </w:r>
    </w:p>
    <w:p>
      <w:pPr>
        <w:spacing w:after="0" w:line="249" w:lineRule="auto"/>
        <w:sectPr>
          <w:pgSz w:w="12240" w:h="15840"/>
          <w:pgMar w:header="0" w:footer="518" w:top="740" w:bottom="780" w:left="740" w:right="700"/>
        </w:sectPr>
      </w:pPr>
    </w:p>
    <w:p>
      <w:pPr>
        <w:pStyle w:val="BodyText"/>
        <w:ind w:left="458"/>
      </w:pPr>
      <w:r>
        <w:rPr/>
        <w:drawing>
          <wp:inline distT="0" distB="0" distL="0" distR="0">
            <wp:extent cx="6140213" cy="8057388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213" cy="805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0" w:footer="518" w:top="1020" w:bottom="700" w:left="740" w:right="700"/>
        </w:sectPr>
      </w:pPr>
    </w:p>
    <w:p>
      <w:pPr>
        <w:pStyle w:val="Heading1"/>
      </w:pPr>
      <w:bookmarkStart w:name="Corporate Governance" w:id="9"/>
      <w:bookmarkEnd w:id="9"/>
      <w:r>
        <w:rPr>
          <w:b w:val="0"/>
        </w:rPr>
      </w:r>
      <w:r>
        <w:rPr>
          <w:color w:val="00539E"/>
        </w:rPr>
        <w:t>CORPORATE</w:t>
      </w:r>
      <w:r>
        <w:rPr>
          <w:color w:val="00539E"/>
          <w:spacing w:val="-9"/>
        </w:rPr>
        <w:t> </w:t>
      </w:r>
      <w:r>
        <w:rPr>
          <w:color w:val="00539E"/>
        </w:rPr>
        <w:t>GOVERNANCE</w:t>
      </w:r>
    </w:p>
    <w:p>
      <w:pPr>
        <w:pStyle w:val="Heading2"/>
        <w:spacing w:before="112"/>
      </w:pPr>
      <w:bookmarkStart w:name="Governance Policies, Code of Ethics and " w:id="10"/>
      <w:bookmarkEnd w:id="10"/>
      <w:r>
        <w:rPr>
          <w:b w:val="0"/>
        </w:rPr>
      </w:r>
      <w:bookmarkStart w:name="_bookmark2" w:id="11"/>
      <w:bookmarkEnd w:id="11"/>
      <w:r>
        <w:rPr>
          <w:b w:val="0"/>
        </w:rPr>
      </w:r>
      <w:r>
        <w:rPr>
          <w:color w:val="00539E"/>
        </w:rPr>
        <w:t>Governance</w:t>
      </w:r>
      <w:r>
        <w:rPr>
          <w:color w:val="00539E"/>
          <w:spacing w:val="-3"/>
        </w:rPr>
        <w:t> </w:t>
      </w:r>
      <w:r>
        <w:rPr>
          <w:color w:val="00539E"/>
        </w:rPr>
        <w:t>Policies,</w:t>
      </w:r>
      <w:r>
        <w:rPr>
          <w:color w:val="00539E"/>
          <w:spacing w:val="-3"/>
        </w:rPr>
        <w:t> </w:t>
      </w:r>
      <w:r>
        <w:rPr>
          <w:color w:val="00539E"/>
        </w:rPr>
        <w:t>Code</w:t>
      </w:r>
      <w:r>
        <w:rPr>
          <w:color w:val="00539E"/>
          <w:spacing w:val="-3"/>
        </w:rPr>
        <w:t> </w:t>
      </w:r>
      <w:r>
        <w:rPr>
          <w:color w:val="00539E"/>
        </w:rPr>
        <w:t>of</w:t>
      </w:r>
      <w:r>
        <w:rPr>
          <w:color w:val="00539E"/>
          <w:spacing w:val="-3"/>
        </w:rPr>
        <w:t> </w:t>
      </w:r>
      <w:r>
        <w:rPr>
          <w:color w:val="00539E"/>
        </w:rPr>
        <w:t>Ethics</w:t>
      </w:r>
      <w:r>
        <w:rPr>
          <w:color w:val="00539E"/>
          <w:spacing w:val="-3"/>
        </w:rPr>
        <w:t> </w:t>
      </w:r>
      <w:r>
        <w:rPr>
          <w:color w:val="00539E"/>
        </w:rPr>
        <w:t>and</w:t>
      </w:r>
      <w:r>
        <w:rPr>
          <w:color w:val="00539E"/>
          <w:spacing w:val="-3"/>
        </w:rPr>
        <w:t> </w:t>
      </w:r>
      <w:r>
        <w:rPr>
          <w:color w:val="00539E"/>
        </w:rPr>
        <w:t>Committee</w:t>
      </w:r>
      <w:r>
        <w:rPr>
          <w:color w:val="00539E"/>
          <w:spacing w:val="-2"/>
        </w:rPr>
        <w:t> </w:t>
      </w:r>
      <w:r>
        <w:rPr>
          <w:color w:val="00539E"/>
        </w:rPr>
        <w:t>Charters</w:t>
      </w:r>
    </w:p>
    <w:p>
      <w:pPr>
        <w:pStyle w:val="BodyText"/>
        <w:spacing w:line="249" w:lineRule="auto" w:before="221"/>
        <w:ind w:left="250" w:right="376"/>
      </w:pPr>
      <w:r>
        <w:rPr/>
        <w:t>The Board regularly evaluates the Company's corporate governance policies and benchmarks those policies</w:t>
      </w:r>
      <w:r>
        <w:rPr>
          <w:spacing w:val="1"/>
        </w:rPr>
        <w:t> </w:t>
      </w:r>
      <w:r>
        <w:rPr/>
        <w:t>against the rules and regulations of governmental authorities, the best practices of other public companies and</w:t>
      </w:r>
      <w:r>
        <w:rPr>
          <w:spacing w:val="1"/>
        </w:rPr>
        <w:t> </w:t>
      </w:r>
      <w:r>
        <w:rPr/>
        <w:t>suggestions received from various authorities. The Board has adopted the Company's Guidelines on Corporate</w:t>
      </w:r>
      <w:r>
        <w:rPr>
          <w:spacing w:val="1"/>
        </w:rPr>
        <w:t> </w:t>
      </w:r>
      <w:r>
        <w:rPr/>
        <w:t>Governance, as amended. The Company's Guidelines on Corporate Governance require that a majority of the</w:t>
      </w:r>
      <w:r>
        <w:rPr>
          <w:spacing w:val="1"/>
        </w:rPr>
        <w:t> </w:t>
      </w:r>
      <w:r>
        <w:rPr/>
        <w:t>Directors be independent within the meaning of New York Stock Exchange ("NYSE") standards. The Company’s</w:t>
      </w:r>
      <w:r>
        <w:rPr>
          <w:spacing w:val="-53"/>
        </w:rPr>
        <w:t> </w:t>
      </w:r>
      <w:r>
        <w:rPr/>
        <w:t>common stock ("Common Stock") is listed on the NYSE under the ticker symbol "ELS." The Company has also</w:t>
      </w:r>
      <w:r>
        <w:rPr>
          <w:spacing w:val="1"/>
        </w:rPr>
        <w:t> </w:t>
      </w:r>
      <w:r>
        <w:rPr/>
        <w:t>adopted a Business Ethics and Conduct Policy, which applies to all Directors, officers and employees of the</w:t>
      </w:r>
      <w:r>
        <w:rPr>
          <w:spacing w:val="1"/>
        </w:rPr>
        <w:t> </w:t>
      </w:r>
      <w:r>
        <w:rPr/>
        <w:t>Company. We will disclose on our website any amendment to, or waiver of, any provision of the Business Ethics</w:t>
      </w:r>
      <w:r>
        <w:rPr>
          <w:spacing w:val="-53"/>
        </w:rPr>
        <w:t> </w:t>
      </w:r>
      <w:r>
        <w:rPr/>
        <w:t>and</w:t>
      </w:r>
      <w:r>
        <w:rPr>
          <w:spacing w:val="-6"/>
        </w:rPr>
        <w:t> </w:t>
      </w:r>
      <w:r>
        <w:rPr/>
        <w:t>Conduct</w:t>
      </w:r>
      <w:r>
        <w:rPr>
          <w:spacing w:val="-5"/>
        </w:rPr>
        <w:t> </w:t>
      </w:r>
      <w:r>
        <w:rPr/>
        <w:t>Policy</w:t>
      </w:r>
      <w:r>
        <w:rPr>
          <w:spacing w:val="-5"/>
        </w:rPr>
        <w:t> </w:t>
      </w:r>
      <w:r>
        <w:rPr/>
        <w:t>applicable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our</w:t>
      </w:r>
      <w:r>
        <w:rPr>
          <w:spacing w:val="-5"/>
        </w:rPr>
        <w:t> </w:t>
      </w:r>
      <w:r>
        <w:rPr/>
        <w:t>Directors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executive</w:t>
      </w:r>
      <w:r>
        <w:rPr>
          <w:spacing w:val="-6"/>
        </w:rPr>
        <w:t> </w:t>
      </w:r>
      <w:r>
        <w:rPr/>
        <w:t>officers</w:t>
      </w:r>
      <w:r>
        <w:rPr>
          <w:spacing w:val="-5"/>
        </w:rPr>
        <w:t> </w:t>
      </w:r>
      <w:r>
        <w:rPr/>
        <w:t>("Executive</w:t>
      </w:r>
      <w:r>
        <w:rPr>
          <w:spacing w:val="-5"/>
        </w:rPr>
        <w:t> </w:t>
      </w:r>
      <w:r>
        <w:rPr/>
        <w:t>Officers"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"NEOs")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would</w:t>
      </w:r>
      <w:r>
        <w:rPr>
          <w:spacing w:val="1"/>
        </w:rPr>
        <w:t> </w:t>
      </w:r>
      <w:r>
        <w:rPr/>
        <w:t>otherwise be required to be disclosed under the rules of the Securities and Exchange Commission ("SEC") or</w:t>
      </w:r>
      <w:r>
        <w:rPr>
          <w:spacing w:val="1"/>
        </w:rPr>
        <w:t> </w:t>
      </w:r>
      <w:r>
        <w:rPr/>
        <w:t>NYSE.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9" w:lineRule="auto"/>
        <w:ind w:left="250" w:right="321"/>
      </w:pPr>
      <w:r>
        <w:rPr/>
        <w:t>Our Guidelines on Corporate Governance include a Director resignation policy, whereby an incumbent Director who</w:t>
      </w:r>
      <w:r>
        <w:rPr>
          <w:spacing w:val="-53"/>
        </w:rPr>
        <w:t> </w:t>
      </w:r>
      <w:r>
        <w:rPr/>
        <w:t>fails to receive a majority of the votes cast in an uncontested election is expected to submit his or her resignation. If</w:t>
      </w:r>
      <w:r>
        <w:rPr>
          <w:spacing w:val="-53"/>
        </w:rPr>
        <w:t> </w:t>
      </w:r>
      <w:r>
        <w:rPr/>
        <w:t>an incumbent Director fails to receive such a majority vote and tenders his or her resignation, the Compensation</w:t>
      </w:r>
      <w:r>
        <w:rPr>
          <w:spacing w:val="1"/>
        </w:rPr>
        <w:t> </w:t>
      </w:r>
      <w:r>
        <w:rPr/>
        <w:t>Committee will make a recommendation to the Board as to whether to accept or reject the tendered resignation, or</w:t>
      </w:r>
      <w:r>
        <w:rPr>
          <w:spacing w:val="1"/>
        </w:rPr>
        <w:t> </w:t>
      </w:r>
      <w:r>
        <w:rPr/>
        <w:t>whether other action is recommended, taking into account any information that it considers appropriate and</w:t>
      </w:r>
      <w:r>
        <w:rPr>
          <w:spacing w:val="1"/>
        </w:rPr>
        <w:t> </w:t>
      </w:r>
      <w:r>
        <w:rPr/>
        <w:t>relevant, including the circumstances that led to the failure to receive the vote, if known. The Board will act on the</w:t>
      </w:r>
      <w:r>
        <w:rPr>
          <w:spacing w:val="1"/>
        </w:rPr>
        <w:t> </w:t>
      </w:r>
      <w:r>
        <w:rPr/>
        <w:t>tendered resignation within ninety (90) days following certification of the stockholder vote and will promptly disclose</w:t>
      </w:r>
      <w:r>
        <w:rPr>
          <w:spacing w:val="1"/>
        </w:rPr>
        <w:t> </w:t>
      </w:r>
      <w:r>
        <w:rPr/>
        <w:t>its decision and rationale as to whether to accept the resignation (or the reasons for rejecting the resignation, if</w:t>
      </w:r>
      <w:r>
        <w:rPr>
          <w:spacing w:val="1"/>
        </w:rPr>
        <w:t> </w:t>
      </w:r>
      <w:r>
        <w:rPr/>
        <w:t>applicable) in a press release, filing with the SEC or other public announcement.</w:t>
      </w:r>
      <w:r>
        <w:rPr>
          <w:spacing w:val="1"/>
        </w:rPr>
        <w:t> </w:t>
      </w:r>
      <w:r>
        <w:rPr/>
        <w:t>Our Guidelines on Corporate</w:t>
      </w:r>
      <w:r>
        <w:rPr>
          <w:spacing w:val="1"/>
        </w:rPr>
        <w:t> </w:t>
      </w:r>
      <w:r>
        <w:rPr/>
        <w:t>Governance also provide that the Compensation Committee will have oversight with respect to executive officer</w:t>
      </w:r>
      <w:r>
        <w:rPr>
          <w:spacing w:val="1"/>
        </w:rPr>
        <w:t> </w:t>
      </w:r>
      <w:r>
        <w:rPr/>
        <w:t>succession</w:t>
      </w:r>
      <w:r>
        <w:rPr>
          <w:spacing w:val="-2"/>
        </w:rPr>
        <w:t> </w:t>
      </w:r>
      <w:r>
        <w:rPr/>
        <w:t>planning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plans.</w:t>
      </w:r>
    </w:p>
    <w:p>
      <w:pPr>
        <w:pStyle w:val="BodyText"/>
        <w:spacing w:before="8"/>
        <w:rPr>
          <w:sz w:val="19"/>
        </w:rPr>
      </w:pPr>
      <w:r>
        <w:rPr/>
        <w:pict>
          <v:shape style="position:absolute;margin-left:49.5pt;margin-top:12.555556pt;width:513pt;height:21.75pt;mso-position-horizontal-relative:page;mso-position-vertical-relative:paragraph;z-index:-15719424;mso-wrap-distance-left:0;mso-wrap-distance-right:0" type="#_x0000_t202" id="docshape11" filled="true" fillcolor="#00539e" stroked="false">
            <v:textbox inset="0,0,0,0">
              <w:txbxContent>
                <w:p>
                  <w:pPr>
                    <w:spacing w:before="90"/>
                    <w:ind w:left="3066" w:right="3064" w:firstLine="0"/>
                    <w:jc w:val="center"/>
                    <w:rPr>
                      <w:b/>
                      <w:color w:val="000000"/>
                      <w:sz w:val="22"/>
                    </w:rPr>
                  </w:pPr>
                  <w:r>
                    <w:rPr>
                      <w:b/>
                      <w:color w:val="FFFFFF"/>
                      <w:sz w:val="22"/>
                    </w:rPr>
                    <w:t>Key</w:t>
                  </w:r>
                  <w:r>
                    <w:rPr>
                      <w:b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Corporate</w:t>
                  </w:r>
                  <w:r>
                    <w:rPr>
                      <w:b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Governance</w:t>
                  </w:r>
                  <w:r>
                    <w:rPr>
                      <w:b/>
                      <w:color w:val="FFFFFF"/>
                      <w:spacing w:val="-6"/>
                      <w:sz w:val="22"/>
                    </w:rPr>
                    <w:t> </w:t>
                  </w:r>
                  <w:r>
                    <w:rPr>
                      <w:b/>
                      <w:color w:val="FFFFFF"/>
                      <w:sz w:val="22"/>
                    </w:rPr>
                    <w:t>Documents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line="249" w:lineRule="auto" w:before="89"/>
        <w:ind w:left="302"/>
      </w:pPr>
      <w:r>
        <w:rPr/>
        <w:t>Please</w:t>
      </w:r>
      <w:r>
        <w:rPr>
          <w:spacing w:val="-7"/>
        </w:rPr>
        <w:t> </w:t>
      </w:r>
      <w:r>
        <w:rPr/>
        <w:t>visit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Company's</w:t>
      </w:r>
      <w:r>
        <w:rPr>
          <w:spacing w:val="-6"/>
        </w:rPr>
        <w:t> </w:t>
      </w:r>
      <w:r>
        <w:rPr/>
        <w:t>website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hyperlink r:id="rId19">
        <w:r>
          <w:rPr>
            <w:i/>
          </w:rPr>
          <w:t>www.equitylifestyleproperties.com</w:t>
        </w:r>
        <w:r>
          <w:rPr>
            <w:i/>
            <w:spacing w:val="-6"/>
          </w:rPr>
          <w:t> </w:t>
        </w:r>
      </w:hyperlink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investor</w:t>
      </w:r>
      <w:r>
        <w:rPr>
          <w:spacing w:val="-6"/>
        </w:rPr>
        <w:t> </w:t>
      </w:r>
      <w:r>
        <w:rPr/>
        <w:t>relations</w:t>
      </w:r>
      <w:r>
        <w:rPr>
          <w:spacing w:val="-6"/>
        </w:rPr>
        <w:t> </w:t>
      </w:r>
      <w:r>
        <w:rPr/>
        <w:t>section</w:t>
      </w:r>
      <w:r>
        <w:rPr>
          <w:spacing w:val="-6"/>
        </w:rPr>
        <w:t> </w:t>
      </w:r>
      <w:r>
        <w:rPr/>
        <w:t>under</w:t>
      </w:r>
      <w:r>
        <w:rPr>
          <w:spacing w:val="1"/>
        </w:rPr>
        <w:t> </w:t>
      </w:r>
      <w:r>
        <w:rPr/>
        <w:t>"Corporate</w:t>
      </w:r>
      <w:r>
        <w:rPr>
          <w:spacing w:val="-2"/>
        </w:rPr>
        <w:t> </w:t>
      </w:r>
      <w:r>
        <w:rPr/>
        <w:t>Governance"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"Sustainability"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view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documents:</w:t>
      </w:r>
    </w:p>
    <w:p>
      <w:pPr>
        <w:spacing w:after="0" w:line="249" w:lineRule="auto"/>
        <w:sectPr>
          <w:pgSz w:w="12240" w:h="15840"/>
          <w:pgMar w:header="0" w:footer="518" w:top="740" w:bottom="700" w:left="740" w:right="700"/>
        </w:sectPr>
      </w:pP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119" w:after="0"/>
        <w:ind w:left="651" w:right="0" w:hanging="350"/>
        <w:jc w:val="left"/>
        <w:rPr>
          <w:sz w:val="20"/>
        </w:rPr>
      </w:pPr>
      <w:r>
        <w:rPr>
          <w:sz w:val="20"/>
        </w:rPr>
        <w:t>Company</w:t>
      </w:r>
      <w:r>
        <w:rPr>
          <w:spacing w:val="-11"/>
          <w:sz w:val="20"/>
        </w:rPr>
        <w:t> </w:t>
      </w:r>
      <w:r>
        <w:rPr>
          <w:sz w:val="20"/>
        </w:rPr>
        <w:t>Charter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Company</w:t>
      </w:r>
      <w:r>
        <w:rPr>
          <w:spacing w:val="-10"/>
          <w:sz w:val="20"/>
        </w:rPr>
        <w:t> </w:t>
      </w:r>
      <w:r>
        <w:rPr>
          <w:sz w:val="20"/>
        </w:rPr>
        <w:t>Bylaws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Guidelines</w:t>
      </w:r>
      <w:r>
        <w:rPr>
          <w:spacing w:val="-7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Corporate</w:t>
      </w:r>
      <w:r>
        <w:rPr>
          <w:spacing w:val="-6"/>
          <w:sz w:val="20"/>
        </w:rPr>
        <w:t> </w:t>
      </w:r>
      <w:r>
        <w:rPr>
          <w:sz w:val="20"/>
        </w:rPr>
        <w:t>Governance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Business</w:t>
      </w:r>
      <w:r>
        <w:rPr>
          <w:spacing w:val="-5"/>
          <w:sz w:val="20"/>
        </w:rPr>
        <w:t> </w:t>
      </w:r>
      <w:r>
        <w:rPr>
          <w:sz w:val="20"/>
        </w:rPr>
        <w:t>Ethics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Conduct</w:t>
      </w:r>
      <w:r>
        <w:rPr>
          <w:spacing w:val="-5"/>
          <w:sz w:val="20"/>
        </w:rPr>
        <w:t> </w:t>
      </w:r>
      <w:r>
        <w:rPr>
          <w:sz w:val="20"/>
        </w:rPr>
        <w:t>Policy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Audit</w:t>
      </w:r>
      <w:r>
        <w:rPr>
          <w:spacing w:val="-6"/>
          <w:sz w:val="20"/>
        </w:rPr>
        <w:t> </w:t>
      </w:r>
      <w:r>
        <w:rPr>
          <w:sz w:val="20"/>
        </w:rPr>
        <w:t>Committee</w:t>
      </w:r>
      <w:r>
        <w:rPr>
          <w:spacing w:val="-6"/>
          <w:sz w:val="20"/>
        </w:rPr>
        <w:t> </w:t>
      </w:r>
      <w:r>
        <w:rPr>
          <w:sz w:val="20"/>
        </w:rPr>
        <w:t>Charter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62" w:right="38" w:hanging="360"/>
        <w:jc w:val="left"/>
        <w:rPr>
          <w:sz w:val="20"/>
        </w:rPr>
      </w:pPr>
      <w:r>
        <w:rPr>
          <w:sz w:val="20"/>
        </w:rPr>
        <w:t>Compensation,</w:t>
      </w:r>
      <w:r>
        <w:rPr>
          <w:spacing w:val="-9"/>
          <w:sz w:val="20"/>
        </w:rPr>
        <w:t> </w:t>
      </w:r>
      <w:r>
        <w:rPr>
          <w:sz w:val="20"/>
        </w:rPr>
        <w:t>Nominating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9"/>
          <w:sz w:val="20"/>
        </w:rPr>
        <w:t> </w:t>
      </w:r>
      <w:r>
        <w:rPr>
          <w:sz w:val="20"/>
        </w:rPr>
        <w:t>Corporate</w:t>
      </w:r>
      <w:r>
        <w:rPr>
          <w:spacing w:val="-52"/>
          <w:sz w:val="20"/>
        </w:rPr>
        <w:t> </w:t>
      </w:r>
      <w:r>
        <w:rPr>
          <w:sz w:val="20"/>
        </w:rPr>
        <w:t>Governance</w:t>
      </w:r>
      <w:r>
        <w:rPr>
          <w:spacing w:val="-2"/>
          <w:sz w:val="20"/>
        </w:rPr>
        <w:t> </w:t>
      </w:r>
      <w:r>
        <w:rPr>
          <w:sz w:val="20"/>
        </w:rPr>
        <w:t>Committee</w:t>
      </w:r>
      <w:r>
        <w:rPr>
          <w:spacing w:val="-2"/>
          <w:sz w:val="20"/>
        </w:rPr>
        <w:t> </w:t>
      </w:r>
      <w:r>
        <w:rPr>
          <w:sz w:val="20"/>
        </w:rPr>
        <w:t>Charter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119" w:after="0"/>
        <w:ind w:left="651" w:right="0" w:hanging="350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Environmental,</w:t>
      </w:r>
      <w:r>
        <w:rPr>
          <w:spacing w:val="-6"/>
          <w:sz w:val="20"/>
        </w:rPr>
        <w:t> </w:t>
      </w:r>
      <w:r>
        <w:rPr>
          <w:sz w:val="20"/>
        </w:rPr>
        <w:t>Social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Governance</w:t>
      </w:r>
      <w:r>
        <w:rPr>
          <w:spacing w:val="-6"/>
          <w:sz w:val="20"/>
        </w:rPr>
        <w:t> </w:t>
      </w:r>
      <w:r>
        <w:rPr>
          <w:sz w:val="20"/>
        </w:rPr>
        <w:t>Policy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Political</w:t>
      </w:r>
      <w:r>
        <w:rPr>
          <w:spacing w:val="-8"/>
          <w:sz w:val="20"/>
        </w:rPr>
        <w:t> </w:t>
      </w:r>
      <w:r>
        <w:rPr>
          <w:sz w:val="20"/>
        </w:rPr>
        <w:t>Contributions</w:t>
      </w:r>
      <w:r>
        <w:rPr>
          <w:spacing w:val="-8"/>
          <w:sz w:val="20"/>
        </w:rPr>
        <w:t> </w:t>
      </w:r>
      <w:r>
        <w:rPr>
          <w:sz w:val="20"/>
        </w:rPr>
        <w:t>Policy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Human</w:t>
      </w:r>
      <w:r>
        <w:rPr>
          <w:spacing w:val="-6"/>
          <w:sz w:val="20"/>
        </w:rPr>
        <w:t> </w:t>
      </w:r>
      <w:r>
        <w:rPr>
          <w:sz w:val="20"/>
        </w:rPr>
        <w:t>Rights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Labor</w:t>
      </w:r>
      <w:r>
        <w:rPr>
          <w:spacing w:val="-5"/>
          <w:sz w:val="20"/>
        </w:rPr>
        <w:t> </w:t>
      </w:r>
      <w:r>
        <w:rPr>
          <w:sz w:val="20"/>
        </w:rPr>
        <w:t>Rights</w:t>
      </w:r>
      <w:r>
        <w:rPr>
          <w:spacing w:val="-5"/>
          <w:sz w:val="20"/>
        </w:rPr>
        <w:t> </w:t>
      </w:r>
      <w:r>
        <w:rPr>
          <w:sz w:val="20"/>
        </w:rPr>
        <w:t>Statement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Vendor</w:t>
      </w:r>
      <w:r>
        <w:rPr>
          <w:spacing w:val="-7"/>
          <w:sz w:val="20"/>
        </w:rPr>
        <w:t> </w:t>
      </w:r>
      <w:r>
        <w:rPr>
          <w:sz w:val="20"/>
        </w:rPr>
        <w:t>Code</w:t>
      </w:r>
      <w:r>
        <w:rPr>
          <w:spacing w:val="-7"/>
          <w:sz w:val="20"/>
        </w:rPr>
        <w:t> </w:t>
      </w:r>
      <w:r>
        <w:rPr>
          <w:sz w:val="20"/>
        </w:rPr>
        <w:t>of</w:t>
      </w:r>
      <w:r>
        <w:rPr>
          <w:spacing w:val="-7"/>
          <w:sz w:val="20"/>
        </w:rPr>
        <w:t> </w:t>
      </w:r>
      <w:r>
        <w:rPr>
          <w:sz w:val="20"/>
        </w:rPr>
        <w:t>Conduct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51" w:right="0" w:hanging="350"/>
        <w:jc w:val="left"/>
        <w:rPr>
          <w:sz w:val="20"/>
        </w:rPr>
      </w:pPr>
      <w:r>
        <w:rPr>
          <w:sz w:val="20"/>
        </w:rPr>
        <w:t>Anti-Corruption</w:t>
      </w:r>
      <w:r>
        <w:rPr>
          <w:spacing w:val="-8"/>
          <w:sz w:val="20"/>
        </w:rPr>
        <w:t> </w:t>
      </w:r>
      <w:r>
        <w:rPr>
          <w:sz w:val="20"/>
        </w:rPr>
        <w:t>Compliance</w:t>
      </w:r>
      <w:r>
        <w:rPr>
          <w:spacing w:val="-8"/>
          <w:sz w:val="20"/>
        </w:rPr>
        <w:t> </w:t>
      </w:r>
      <w:r>
        <w:rPr>
          <w:sz w:val="20"/>
        </w:rPr>
        <w:t>Policy</w:t>
      </w:r>
    </w:p>
    <w:p>
      <w:pPr>
        <w:pStyle w:val="ListParagraph"/>
        <w:numPr>
          <w:ilvl w:val="1"/>
          <w:numId w:val="6"/>
        </w:numPr>
        <w:tabs>
          <w:tab w:pos="652" w:val="left" w:leader="none"/>
        </w:tabs>
        <w:spacing w:line="240" w:lineRule="auto" w:before="70" w:after="0"/>
        <w:ind w:left="662" w:right="729" w:hanging="360"/>
        <w:jc w:val="left"/>
        <w:rPr>
          <w:sz w:val="20"/>
        </w:rPr>
      </w:pPr>
      <w:r>
        <w:rPr>
          <w:spacing w:val="-1"/>
          <w:sz w:val="20"/>
        </w:rPr>
        <w:t>Economic Sanctions &amp; Anti-Money </w:t>
      </w:r>
      <w:r>
        <w:rPr>
          <w:sz w:val="20"/>
        </w:rPr>
        <w:t>Laundering Laws</w:t>
      </w:r>
      <w:r>
        <w:rPr>
          <w:spacing w:val="-53"/>
          <w:sz w:val="20"/>
        </w:rPr>
        <w:t> </w:t>
      </w:r>
      <w:r>
        <w:rPr>
          <w:sz w:val="20"/>
        </w:rPr>
        <w:t>Compliance</w:t>
      </w:r>
      <w:r>
        <w:rPr>
          <w:spacing w:val="-2"/>
          <w:sz w:val="20"/>
        </w:rPr>
        <w:t> </w:t>
      </w:r>
      <w:r>
        <w:rPr>
          <w:sz w:val="20"/>
        </w:rPr>
        <w:t>Policy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18" w:top="860" w:bottom="280" w:left="740" w:right="700"/>
          <w:cols w:num="2" w:equalWidth="0">
            <w:col w:w="4437" w:space="348"/>
            <w:col w:w="6015"/>
          </w:cols>
        </w:sectPr>
      </w:pPr>
    </w:p>
    <w:p>
      <w:pPr>
        <w:pStyle w:val="BodyText"/>
        <w:spacing w:line="249" w:lineRule="auto" w:before="116"/>
        <w:ind w:left="302" w:right="282"/>
      </w:pPr>
      <w:r>
        <w:rPr/>
        <w:t>These</w:t>
      </w:r>
      <w:r>
        <w:rPr>
          <w:spacing w:val="-5"/>
        </w:rPr>
        <w:t> </w:t>
      </w:r>
      <w:r>
        <w:rPr/>
        <w:t>documents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also</w:t>
      </w:r>
      <w:r>
        <w:rPr>
          <w:spacing w:val="-4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free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charge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sending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written</w:t>
      </w:r>
      <w:r>
        <w:rPr>
          <w:spacing w:val="-5"/>
        </w:rPr>
        <w:t> </w:t>
      </w:r>
      <w:r>
        <w:rPr/>
        <w:t>request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Equity</w:t>
      </w:r>
      <w:r>
        <w:rPr>
          <w:spacing w:val="-5"/>
        </w:rPr>
        <w:t> </w:t>
      </w:r>
      <w:r>
        <w:rPr/>
        <w:t>LifeStyle</w:t>
      </w:r>
      <w:r>
        <w:rPr>
          <w:spacing w:val="-4"/>
        </w:rPr>
        <w:t> </w:t>
      </w:r>
      <w:r>
        <w:rPr/>
        <w:t>Properties,</w:t>
      </w:r>
      <w:r>
        <w:rPr>
          <w:spacing w:val="-5"/>
        </w:rPr>
        <w:t> </w:t>
      </w:r>
      <w:r>
        <w:rPr/>
        <w:t>Inc.,</w:t>
      </w:r>
      <w:r>
        <w:rPr>
          <w:spacing w:val="1"/>
        </w:rPr>
        <w:t> </w:t>
      </w:r>
      <w:r>
        <w:rPr/>
        <w:t>Attn: Investor Relations, Two North Riverside Plaza, Suite 800, Chicago, Illinois 60606, or by emailing our</w:t>
      </w:r>
      <w:r>
        <w:rPr>
          <w:spacing w:val="1"/>
        </w:rPr>
        <w:t> </w:t>
      </w:r>
      <w:r>
        <w:rPr/>
        <w:t>Company's Investor Relations Department at </w:t>
      </w:r>
      <w:hyperlink r:id="rId20">
        <w:r>
          <w:rPr/>
          <w:t>investor_relations@equitylifestyle.com. </w:t>
        </w:r>
      </w:hyperlink>
      <w:r>
        <w:rPr/>
        <w:t>No information contained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Company's</w:t>
      </w:r>
      <w:r>
        <w:rPr>
          <w:spacing w:val="-2"/>
        </w:rPr>
        <w:t> </w:t>
      </w:r>
      <w:r>
        <w:rPr/>
        <w:t>website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part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incorporated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Proxy</w:t>
      </w:r>
      <w:r>
        <w:rPr>
          <w:spacing w:val="-2"/>
        </w:rPr>
        <w:t> </w:t>
      </w:r>
      <w:r>
        <w:rPr/>
        <w:t>Statement.</w:t>
      </w:r>
    </w:p>
    <w:p>
      <w:pPr>
        <w:pStyle w:val="BodyText"/>
        <w:spacing w:before="7"/>
        <w:rPr>
          <w:sz w:val="19"/>
        </w:rPr>
      </w:pPr>
    </w:p>
    <w:p>
      <w:pPr>
        <w:pStyle w:val="Heading2"/>
      </w:pPr>
      <w:bookmarkStart w:name="Board and Committee Self-Evaluation Proc" w:id="12"/>
      <w:bookmarkEnd w:id="12"/>
      <w:r>
        <w:rPr>
          <w:b w:val="0"/>
        </w:rPr>
      </w:r>
      <w:bookmarkStart w:name="_bookmark3" w:id="13"/>
      <w:bookmarkEnd w:id="13"/>
      <w:r>
        <w:rPr>
          <w:b w:val="0"/>
        </w:rPr>
      </w:r>
      <w:r>
        <w:rPr>
          <w:color w:val="00539E"/>
        </w:rPr>
        <w:t>Board</w:t>
      </w:r>
      <w:r>
        <w:rPr>
          <w:color w:val="00539E"/>
          <w:spacing w:val="-4"/>
        </w:rPr>
        <w:t> </w:t>
      </w:r>
      <w:r>
        <w:rPr>
          <w:color w:val="00539E"/>
        </w:rPr>
        <w:t>and</w:t>
      </w:r>
      <w:r>
        <w:rPr>
          <w:color w:val="00539E"/>
          <w:spacing w:val="-4"/>
        </w:rPr>
        <w:t> </w:t>
      </w:r>
      <w:r>
        <w:rPr>
          <w:color w:val="00539E"/>
        </w:rPr>
        <w:t>Committee</w:t>
      </w:r>
      <w:r>
        <w:rPr>
          <w:color w:val="00539E"/>
          <w:spacing w:val="-4"/>
        </w:rPr>
        <w:t> </w:t>
      </w:r>
      <w:r>
        <w:rPr>
          <w:color w:val="00539E"/>
        </w:rPr>
        <w:t>Self-Evaluation</w:t>
      </w:r>
      <w:r>
        <w:rPr>
          <w:color w:val="00539E"/>
          <w:spacing w:val="-4"/>
        </w:rPr>
        <w:t> </w:t>
      </w:r>
      <w:r>
        <w:rPr>
          <w:color w:val="00539E"/>
        </w:rPr>
        <w:t>Process</w:t>
      </w:r>
    </w:p>
    <w:p>
      <w:pPr>
        <w:pStyle w:val="BodyText"/>
        <w:spacing w:line="249" w:lineRule="auto" w:before="220"/>
        <w:ind w:left="250" w:right="349"/>
      </w:pPr>
      <w:r>
        <w:rPr/>
        <w:t>On an annual basis, a Board evaluation process is completed whereby the Board's Lead Director (the "Lead</w:t>
      </w:r>
      <w:r>
        <w:rPr>
          <w:spacing w:val="1"/>
        </w:rPr>
        <w:t> </w:t>
      </w:r>
      <w:r>
        <w:rPr/>
        <w:t>Director"), Philip Calian, conducts interviews independently with each Director. The evaluation process includes an</w:t>
      </w:r>
      <w:r>
        <w:rPr>
          <w:spacing w:val="1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Board</w:t>
      </w:r>
      <w:r>
        <w:rPr>
          <w:spacing w:val="-4"/>
        </w:rPr>
        <w:t> </w:t>
      </w:r>
      <w:r>
        <w:rPr/>
        <w:t>committee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whole,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individual</w:t>
      </w:r>
      <w:r>
        <w:rPr>
          <w:spacing w:val="-4"/>
        </w:rPr>
        <w:t> </w:t>
      </w:r>
      <w:r>
        <w:rPr/>
        <w:t>Directors,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1"/>
        </w:rPr>
        <w:t> </w:t>
      </w:r>
      <w:r>
        <w:rPr/>
        <w:t>focus on areas such as independence and objectivity, meeting attendance, participation and input, knowledge and</w:t>
      </w:r>
      <w:r>
        <w:rPr>
          <w:spacing w:val="1"/>
        </w:rPr>
        <w:t> </w:t>
      </w:r>
      <w:r>
        <w:rPr/>
        <w:t>expertise, insightfulness and forethought, preparation and commitment to improvement.</w:t>
      </w:r>
      <w:r>
        <w:rPr>
          <w:spacing w:val="1"/>
        </w:rPr>
        <w:t> </w:t>
      </w:r>
      <w:r>
        <w:rPr/>
        <w:t>The Lead Director</w:t>
      </w:r>
      <w:r>
        <w:rPr>
          <w:spacing w:val="1"/>
        </w:rPr>
        <w:t> </w:t>
      </w:r>
      <w:r>
        <w:rPr/>
        <w:t>discusses the results of these evaluations with the Directors individually as necessitated and with the Board and</w:t>
      </w:r>
      <w:r>
        <w:rPr>
          <w:spacing w:val="1"/>
        </w:rPr>
        <w:t> </w:t>
      </w:r>
      <w:r>
        <w:rPr/>
        <w:t>each</w:t>
      </w:r>
      <w:r>
        <w:rPr>
          <w:spacing w:val="-2"/>
        </w:rPr>
        <w:t> </w:t>
      </w:r>
      <w:r>
        <w:rPr/>
        <w:t>Board</w:t>
      </w:r>
      <w:r>
        <w:rPr>
          <w:spacing w:val="-1"/>
        </w:rPr>
        <w:t> </w:t>
      </w:r>
      <w:r>
        <w:rPr/>
        <w:t>committee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whole.</w:t>
      </w:r>
    </w:p>
    <w:p>
      <w:pPr>
        <w:spacing w:after="0" w:line="249" w:lineRule="auto"/>
        <w:sectPr>
          <w:type w:val="continuous"/>
          <w:pgSz w:w="12240" w:h="15840"/>
          <w:pgMar w:header="0" w:footer="518" w:top="860" w:bottom="280" w:left="740" w:right="700"/>
        </w:sectPr>
      </w:pPr>
    </w:p>
    <w:p>
      <w:pPr>
        <w:pStyle w:val="Heading2"/>
        <w:spacing w:before="64"/>
      </w:pPr>
      <w:bookmarkStart w:name="Engaging with Our Stakeholders" w:id="14"/>
      <w:bookmarkEnd w:id="14"/>
      <w:r>
        <w:rPr>
          <w:b w:val="0"/>
        </w:rPr>
      </w:r>
      <w:bookmarkStart w:name="_bookmark4" w:id="15"/>
      <w:bookmarkEnd w:id="15"/>
      <w:r>
        <w:rPr>
          <w:b w:val="0"/>
        </w:rPr>
      </w:r>
      <w:r>
        <w:rPr>
          <w:color w:val="00539E"/>
        </w:rPr>
        <w:t>Engaging</w:t>
      </w:r>
      <w:r>
        <w:rPr>
          <w:color w:val="00539E"/>
          <w:spacing w:val="-2"/>
        </w:rPr>
        <w:t> </w:t>
      </w:r>
      <w:r>
        <w:rPr>
          <w:color w:val="00539E"/>
        </w:rPr>
        <w:t>with</w:t>
      </w:r>
      <w:r>
        <w:rPr>
          <w:color w:val="00539E"/>
          <w:spacing w:val="-2"/>
        </w:rPr>
        <w:t> </w:t>
      </w:r>
      <w:r>
        <w:rPr>
          <w:color w:val="00539E"/>
        </w:rPr>
        <w:t>Our</w:t>
      </w:r>
      <w:r>
        <w:rPr>
          <w:color w:val="00539E"/>
          <w:spacing w:val="-2"/>
        </w:rPr>
        <w:t> </w:t>
      </w:r>
      <w:r>
        <w:rPr>
          <w:color w:val="00539E"/>
        </w:rPr>
        <w:t>Stakeholders</w:t>
      </w:r>
    </w:p>
    <w:p>
      <w:pPr>
        <w:pStyle w:val="BodyText"/>
        <w:spacing w:line="249" w:lineRule="auto" w:before="221"/>
        <w:ind w:left="250" w:right="282"/>
      </w:pPr>
      <w:r>
        <w:rPr/>
        <w:t>We place great importance on consistent dialogue with all our stakeholders, including stockholders, employees,</w:t>
      </w:r>
      <w:r>
        <w:rPr>
          <w:spacing w:val="1"/>
        </w:rPr>
        <w:t> </w:t>
      </w:r>
      <w:r>
        <w:rPr/>
        <w:t>customers and members of the communities that we serve. We regularly engage in discussions with, and provide</w:t>
      </w:r>
      <w:r>
        <w:rPr>
          <w:spacing w:val="1"/>
        </w:rPr>
        <w:t> </w:t>
      </w:r>
      <w:r>
        <w:rPr/>
        <w:t>comprehensive</w:t>
      </w:r>
      <w:r>
        <w:rPr>
          <w:spacing w:val="-10"/>
        </w:rPr>
        <w:t> </w:t>
      </w:r>
      <w:r>
        <w:rPr/>
        <w:t>publicly-available</w:t>
      </w:r>
      <w:r>
        <w:rPr>
          <w:spacing w:val="-9"/>
        </w:rPr>
        <w:t> </w:t>
      </w:r>
      <w:r>
        <w:rPr/>
        <w:t>information</w:t>
      </w:r>
      <w:r>
        <w:rPr>
          <w:spacing w:val="-9"/>
        </w:rPr>
        <w:t> </w:t>
      </w:r>
      <w:r>
        <w:rPr/>
        <w:t>for,</w:t>
      </w:r>
      <w:r>
        <w:rPr>
          <w:spacing w:val="-10"/>
        </w:rPr>
        <w:t> </w:t>
      </w:r>
      <w:r>
        <w:rPr/>
        <w:t>constituents</w:t>
      </w:r>
      <w:r>
        <w:rPr>
          <w:spacing w:val="-9"/>
        </w:rPr>
        <w:t> </w:t>
      </w:r>
      <w:r>
        <w:rPr/>
        <w:t>interested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our</w:t>
      </w:r>
      <w:r>
        <w:rPr>
          <w:spacing w:val="-10"/>
        </w:rPr>
        <w:t> </w:t>
      </w:r>
      <w:r>
        <w:rPr/>
        <w:t>strategy,</w:t>
      </w:r>
      <w:r>
        <w:rPr>
          <w:spacing w:val="-9"/>
        </w:rPr>
        <w:t> </w:t>
      </w:r>
      <w:r>
        <w:rPr/>
        <w:t>performance,</w:t>
      </w:r>
      <w:r>
        <w:rPr>
          <w:spacing w:val="-9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citizenship, stewardship and environmental compliance.</w:t>
      </w:r>
      <w:r>
        <w:rPr>
          <w:spacing w:val="1"/>
        </w:rPr>
        <w:t> </w:t>
      </w:r>
      <w:r>
        <w:rPr/>
        <w:t>We are receptive to stakeholder input, and we are</w:t>
      </w:r>
      <w:r>
        <w:rPr>
          <w:spacing w:val="1"/>
        </w:rPr>
        <w:t> </w:t>
      </w:r>
      <w:r>
        <w:rPr/>
        <w:t>committed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transparency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proactive</w:t>
      </w:r>
      <w:r>
        <w:rPr>
          <w:spacing w:val="-1"/>
        </w:rPr>
        <w:t> </w:t>
      </w:r>
      <w:r>
        <w:rPr/>
        <w:t>interactions.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/>
        <w:ind w:left="250" w:right="402"/>
      </w:pPr>
      <w:r>
        <w:rPr/>
        <w:t>We</w:t>
      </w:r>
      <w:r>
        <w:rPr>
          <w:spacing w:val="-6"/>
        </w:rPr>
        <w:t> </w:t>
      </w:r>
      <w:r>
        <w:rPr/>
        <w:t>maintain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active</w:t>
      </w:r>
      <w:r>
        <w:rPr>
          <w:spacing w:val="-6"/>
        </w:rPr>
        <w:t> </w:t>
      </w:r>
      <w:r>
        <w:rPr/>
        <w:t>dialogue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our</w:t>
      </w:r>
      <w:r>
        <w:rPr>
          <w:spacing w:val="-6"/>
        </w:rPr>
        <w:t> </w:t>
      </w:r>
      <w:r>
        <w:rPr/>
        <w:t>investors,</w:t>
      </w:r>
      <w:r>
        <w:rPr>
          <w:spacing w:val="-5"/>
        </w:rPr>
        <w:t> </w:t>
      </w:r>
      <w:r>
        <w:rPr/>
        <w:t>which</w:t>
      </w:r>
      <w:r>
        <w:rPr>
          <w:spacing w:val="-5"/>
        </w:rPr>
        <w:t> </w:t>
      </w:r>
      <w:r>
        <w:rPr/>
        <w:t>includes</w:t>
      </w:r>
      <w:r>
        <w:rPr>
          <w:spacing w:val="-6"/>
        </w:rPr>
        <w:t> </w:t>
      </w:r>
      <w:r>
        <w:rPr/>
        <w:t>meetings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investors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regular</w:t>
      </w:r>
      <w:r>
        <w:rPr>
          <w:spacing w:val="-5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 investor conferences. Management periodically discusses feedback, including key themes and insights gained</w:t>
      </w:r>
      <w:r>
        <w:rPr>
          <w:spacing w:val="1"/>
        </w:rPr>
        <w:t> </w:t>
      </w:r>
      <w:r>
        <w:rPr/>
        <w:t>from our investor outreach at Board and Board Committee meetings, as appropriate.</w:t>
      </w:r>
      <w:r>
        <w:rPr>
          <w:spacing w:val="1"/>
        </w:rPr>
        <w:t> </w:t>
      </w:r>
      <w:r>
        <w:rPr/>
        <w:t>Additionally, the</w:t>
      </w:r>
      <w:r>
        <w:rPr>
          <w:spacing w:val="1"/>
        </w:rPr>
        <w:t> </w:t>
      </w:r>
      <w:r>
        <w:rPr/>
        <w:t>Compensation Committee takes into consideration the results of the annual advisory vote on the Company's</w:t>
      </w:r>
      <w:r>
        <w:rPr>
          <w:spacing w:val="1"/>
        </w:rPr>
        <w:t> </w:t>
      </w:r>
      <w:r>
        <w:rPr/>
        <w:t>executive compensation. At the 2021 annual meeting of stockholders, 90.4% of all the votes cast approved the</w:t>
      </w:r>
      <w:r>
        <w:rPr>
          <w:spacing w:val="1"/>
        </w:rPr>
        <w:t> </w:t>
      </w:r>
      <w:r>
        <w:rPr/>
        <w:t>compensation program described in the proxy statement for the 2021 annual meeting of stockholders. Although</w:t>
      </w:r>
      <w:r>
        <w:rPr>
          <w:spacing w:val="1"/>
        </w:rPr>
        <w:t> </w:t>
      </w:r>
      <w:r>
        <w:rPr/>
        <w:t>each Director is encouraged to attend each annual meeting of stockholders, the Board has no formal policy with</w:t>
      </w:r>
      <w:r>
        <w:rPr>
          <w:spacing w:val="1"/>
        </w:rPr>
        <w:t> </w:t>
      </w:r>
      <w:r>
        <w:rPr/>
        <w:t>respect to such attendance.</w:t>
      </w:r>
      <w:r>
        <w:rPr>
          <w:spacing w:val="1"/>
        </w:rPr>
        <w:t> </w:t>
      </w:r>
      <w:r>
        <w:rPr/>
        <w:t>Nine of ten Directors in office as of the date of the 2021 annual meeting of</w:t>
      </w:r>
      <w:r>
        <w:rPr>
          <w:spacing w:val="1"/>
        </w:rPr>
        <w:t> </w:t>
      </w:r>
      <w:r>
        <w:rPr/>
        <w:t>stockholders</w:t>
      </w:r>
      <w:r>
        <w:rPr>
          <w:spacing w:val="-2"/>
        </w:rPr>
        <w:t> </w:t>
      </w:r>
      <w:r>
        <w:rPr/>
        <w:t>attended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virtual</w:t>
      </w:r>
      <w:r>
        <w:rPr>
          <w:spacing w:val="-2"/>
        </w:rPr>
        <w:t> </w:t>
      </w:r>
      <w:r>
        <w:rPr/>
        <w:t>stockholder</w:t>
      </w:r>
      <w:r>
        <w:rPr>
          <w:spacing w:val="-1"/>
        </w:rPr>
        <w:t> </w:t>
      </w:r>
      <w:r>
        <w:rPr/>
        <w:t>meeting.</w:t>
      </w:r>
    </w:p>
    <w:p>
      <w:pPr>
        <w:pStyle w:val="BodyText"/>
        <w:spacing w:before="5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1603501</wp:posOffset>
            </wp:positionH>
            <wp:positionV relativeFrom="paragraph">
              <wp:posOffset>179232</wp:posOffset>
            </wp:positionV>
            <wp:extent cx="4607715" cy="810768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715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9"/>
        </w:rPr>
      </w:pPr>
    </w:p>
    <w:p>
      <w:pPr>
        <w:pStyle w:val="Heading2"/>
        <w:spacing w:before="1"/>
      </w:pPr>
      <w:bookmarkStart w:name="Stockholder Communications with the Boar" w:id="16"/>
      <w:bookmarkEnd w:id="16"/>
      <w:r>
        <w:rPr>
          <w:b w:val="0"/>
        </w:rPr>
      </w:r>
      <w:bookmarkStart w:name="_bookmark5" w:id="17"/>
      <w:bookmarkEnd w:id="17"/>
      <w:r>
        <w:rPr>
          <w:b w:val="0"/>
        </w:rPr>
      </w:r>
      <w:r>
        <w:rPr>
          <w:color w:val="00539E"/>
        </w:rPr>
        <w:t>Stockholder</w:t>
      </w:r>
      <w:r>
        <w:rPr>
          <w:color w:val="00539E"/>
          <w:spacing w:val="-3"/>
        </w:rPr>
        <w:t> </w:t>
      </w:r>
      <w:r>
        <w:rPr>
          <w:color w:val="00539E"/>
        </w:rPr>
        <w:t>Communications</w:t>
      </w:r>
      <w:r>
        <w:rPr>
          <w:color w:val="00539E"/>
          <w:spacing w:val="-3"/>
        </w:rPr>
        <w:t> </w:t>
      </w:r>
      <w:r>
        <w:rPr>
          <w:color w:val="00539E"/>
        </w:rPr>
        <w:t>with</w:t>
      </w:r>
      <w:r>
        <w:rPr>
          <w:color w:val="00539E"/>
          <w:spacing w:val="-3"/>
        </w:rPr>
        <w:t> </w:t>
      </w:r>
      <w:r>
        <w:rPr>
          <w:color w:val="00539E"/>
        </w:rPr>
        <w:t>the</w:t>
      </w:r>
      <w:r>
        <w:rPr>
          <w:color w:val="00539E"/>
          <w:spacing w:val="-2"/>
        </w:rPr>
        <w:t> </w:t>
      </w:r>
      <w:r>
        <w:rPr>
          <w:color w:val="00539E"/>
        </w:rPr>
        <w:t>Board</w:t>
      </w:r>
    </w:p>
    <w:p>
      <w:pPr>
        <w:pStyle w:val="BodyText"/>
        <w:spacing w:line="249" w:lineRule="auto" w:before="220"/>
        <w:ind w:left="250" w:right="349"/>
      </w:pPr>
      <w:r>
        <w:rPr/>
        <w:t>The</w:t>
      </w:r>
      <w:r>
        <w:rPr>
          <w:spacing w:val="-6"/>
        </w:rPr>
        <w:t> </w:t>
      </w:r>
      <w:r>
        <w:rPr/>
        <w:t>Board's</w:t>
      </w:r>
      <w:r>
        <w:rPr>
          <w:spacing w:val="-5"/>
        </w:rPr>
        <w:t> </w:t>
      </w:r>
      <w:r>
        <w:rPr/>
        <w:t>Lead</w:t>
      </w:r>
      <w:r>
        <w:rPr>
          <w:spacing w:val="-5"/>
        </w:rPr>
        <w:t> </w:t>
      </w:r>
      <w:r>
        <w:rPr/>
        <w:t>Director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Mr.</w:t>
      </w:r>
      <w:r>
        <w:rPr>
          <w:spacing w:val="-6"/>
        </w:rPr>
        <w:t> </w:t>
      </w:r>
      <w:r>
        <w:rPr/>
        <w:t>Calian</w:t>
      </w:r>
      <w:r>
        <w:rPr>
          <w:spacing w:val="-5"/>
        </w:rPr>
        <w:t> </w:t>
      </w:r>
      <w:r>
        <w:rPr/>
        <w:t>who,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Director,</w:t>
      </w:r>
      <w:r>
        <w:rPr>
          <w:spacing w:val="-5"/>
        </w:rPr>
        <w:t> </w:t>
      </w:r>
      <w:r>
        <w:rPr/>
        <w:t>acts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lead</w:t>
      </w:r>
      <w:r>
        <w:rPr>
          <w:spacing w:val="-5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coordinate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other independent Directors, consults with our Chief Executive Officer on Board agendas, chairs the executive</w:t>
      </w:r>
      <w:r>
        <w:rPr>
          <w:spacing w:val="1"/>
        </w:rPr>
        <w:t> </w:t>
      </w:r>
      <w:r>
        <w:rPr/>
        <w:t>sessions of the non-management Directors and performs such other functions as the Board may direct.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stockholder or other interested party who has a concern or inquiry regarding the conduct of the Company may</w:t>
      </w:r>
      <w:r>
        <w:rPr>
          <w:spacing w:val="1"/>
        </w:rPr>
        <w:t> </w:t>
      </w:r>
      <w:r>
        <w:rPr/>
        <w:t>communicate</w:t>
      </w:r>
      <w:r>
        <w:rPr>
          <w:spacing w:val="-5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Lead</w:t>
      </w:r>
      <w:r>
        <w:rPr>
          <w:spacing w:val="-5"/>
        </w:rPr>
        <w:t> </w:t>
      </w:r>
      <w:r>
        <w:rPr/>
        <w:t>Director,</w:t>
      </w:r>
      <w:r>
        <w:rPr>
          <w:spacing w:val="-4"/>
        </w:rPr>
        <w:t> </w:t>
      </w:r>
      <w:r>
        <w:rPr/>
        <w:t>who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receive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communications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behalf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non-management</w:t>
      </w:r>
      <w:r>
        <w:rPr>
          <w:spacing w:val="-2"/>
        </w:rPr>
        <w:t> </w:t>
      </w:r>
      <w:r>
        <w:rPr/>
        <w:t>Directors.</w:t>
      </w:r>
    </w:p>
    <w:p>
      <w:pPr>
        <w:pStyle w:val="BodyText"/>
        <w:spacing w:line="340" w:lineRule="atLeast" w:before="95"/>
        <w:ind w:left="970" w:right="1362" w:hanging="720"/>
      </w:pPr>
      <w:r>
        <w:rPr/>
        <w:t>Communications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confidential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anonymous,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submitted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writing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email</w:t>
      </w:r>
      <w:r>
        <w:rPr>
          <w:spacing w:val="-4"/>
        </w:rPr>
        <w:t> </w:t>
      </w:r>
      <w:r>
        <w:rPr/>
        <w:t>to:</w:t>
      </w:r>
      <w:r>
        <w:rPr>
          <w:spacing w:val="1"/>
        </w:rPr>
        <w:t> </w:t>
      </w:r>
      <w:r>
        <w:rPr/>
        <w:t>Lead</w:t>
      </w:r>
      <w:r>
        <w:rPr>
          <w:spacing w:val="-2"/>
        </w:rPr>
        <w:t> </w:t>
      </w:r>
      <w:r>
        <w:rPr/>
        <w:t>Director,</w:t>
      </w:r>
      <w:r>
        <w:rPr>
          <w:spacing w:val="-1"/>
        </w:rPr>
        <w:t> </w:t>
      </w:r>
      <w:r>
        <w:rPr/>
        <w:t>c/o</w:t>
      </w:r>
      <w:r>
        <w:rPr>
          <w:spacing w:val="-2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Secretary</w:t>
      </w:r>
    </w:p>
    <w:p>
      <w:pPr>
        <w:pStyle w:val="BodyText"/>
        <w:spacing w:before="10"/>
        <w:ind w:left="970"/>
      </w:pPr>
      <w:r>
        <w:rPr/>
        <w:t>Equity</w:t>
      </w:r>
      <w:r>
        <w:rPr>
          <w:spacing w:val="-6"/>
        </w:rPr>
        <w:t> </w:t>
      </w:r>
      <w:r>
        <w:rPr/>
        <w:t>LifeStyle</w:t>
      </w:r>
      <w:r>
        <w:rPr>
          <w:spacing w:val="-6"/>
        </w:rPr>
        <w:t> </w:t>
      </w:r>
      <w:r>
        <w:rPr/>
        <w:t>Properties,</w:t>
      </w:r>
      <w:r>
        <w:rPr>
          <w:spacing w:val="-6"/>
        </w:rPr>
        <w:t> </w:t>
      </w:r>
      <w:r>
        <w:rPr/>
        <w:t>Inc.</w:t>
      </w:r>
    </w:p>
    <w:p>
      <w:pPr>
        <w:pStyle w:val="BodyText"/>
        <w:spacing w:line="249" w:lineRule="auto" w:before="10"/>
        <w:ind w:left="970" w:right="6129"/>
      </w:pPr>
      <w:r>
        <w:rPr/>
        <w:t>Two</w:t>
      </w:r>
      <w:r>
        <w:rPr>
          <w:spacing w:val="-7"/>
        </w:rPr>
        <w:t> </w:t>
      </w:r>
      <w:r>
        <w:rPr/>
        <w:t>North</w:t>
      </w:r>
      <w:r>
        <w:rPr>
          <w:spacing w:val="-7"/>
        </w:rPr>
        <w:t> </w:t>
      </w:r>
      <w:r>
        <w:rPr/>
        <w:t>Riverside</w:t>
      </w:r>
      <w:r>
        <w:rPr>
          <w:spacing w:val="-7"/>
        </w:rPr>
        <w:t> </w:t>
      </w:r>
      <w:r>
        <w:rPr/>
        <w:t>Plaza,</w:t>
      </w:r>
      <w:r>
        <w:rPr>
          <w:spacing w:val="-6"/>
        </w:rPr>
        <w:t> </w:t>
      </w:r>
      <w:r>
        <w:rPr/>
        <w:t>Suite</w:t>
      </w:r>
      <w:r>
        <w:rPr>
          <w:spacing w:val="-7"/>
        </w:rPr>
        <w:t> </w:t>
      </w:r>
      <w:r>
        <w:rPr/>
        <w:t>800</w:t>
      </w:r>
      <w:r>
        <w:rPr>
          <w:spacing w:val="-52"/>
        </w:rPr>
        <w:t> </w:t>
      </w:r>
      <w:r>
        <w:rPr/>
        <w:t>Chicago,</w:t>
      </w:r>
      <w:r>
        <w:rPr>
          <w:spacing w:val="-2"/>
        </w:rPr>
        <w:t> </w:t>
      </w:r>
      <w:r>
        <w:rPr/>
        <w:t>Illinois</w:t>
      </w:r>
      <w:r>
        <w:rPr>
          <w:spacing w:val="-2"/>
        </w:rPr>
        <w:t> </w:t>
      </w:r>
      <w:r>
        <w:rPr/>
        <w:t>60606</w:t>
      </w:r>
    </w:p>
    <w:p>
      <w:pPr>
        <w:pStyle w:val="BodyText"/>
        <w:spacing w:before="2"/>
        <w:ind w:left="970"/>
      </w:pPr>
      <w:r>
        <w:rPr/>
        <w:t>Email:</w:t>
      </w:r>
      <w:r>
        <w:rPr>
          <w:spacing w:val="34"/>
        </w:rPr>
        <w:t> </w:t>
      </w:r>
      <w:hyperlink r:id="rId22">
        <w:r>
          <w:rPr/>
          <w:t>Investor_Relations@equitylifestyle.com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49" w:lineRule="auto"/>
        <w:ind w:left="250" w:right="321"/>
      </w:pPr>
      <w:r>
        <w:rPr/>
        <w:t>All</w:t>
      </w:r>
      <w:r>
        <w:rPr>
          <w:spacing w:val="-6"/>
        </w:rPr>
        <w:t> </w:t>
      </w:r>
      <w:r>
        <w:rPr/>
        <w:t>communications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6"/>
        </w:rPr>
        <w:t> </w:t>
      </w:r>
      <w:r>
        <w:rPr/>
        <w:t>received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processed</w:t>
      </w:r>
      <w:r>
        <w:rPr>
          <w:spacing w:val="-5"/>
        </w:rPr>
        <w:t> </w:t>
      </w:r>
      <w:r>
        <w:rPr/>
        <w:t>by</w:t>
      </w:r>
      <w:r>
        <w:rPr>
          <w:spacing w:val="-6"/>
        </w:rPr>
        <w:t> </w:t>
      </w:r>
      <w:r>
        <w:rPr/>
        <w:t>our</w:t>
      </w:r>
      <w:r>
        <w:rPr>
          <w:spacing w:val="-6"/>
        </w:rPr>
        <w:t> </w:t>
      </w:r>
      <w:r>
        <w:rPr/>
        <w:t>Corporate</w:t>
      </w:r>
      <w:r>
        <w:rPr>
          <w:spacing w:val="-6"/>
        </w:rPr>
        <w:t> </w:t>
      </w:r>
      <w:r>
        <w:rPr/>
        <w:t>Secretary,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all</w:t>
      </w:r>
      <w:r>
        <w:rPr>
          <w:spacing w:val="-5"/>
        </w:rPr>
        <w:t> </w:t>
      </w:r>
      <w:r>
        <w:rPr/>
        <w:t>substantive</w:t>
      </w:r>
      <w:r>
        <w:rPr>
          <w:spacing w:val="-6"/>
        </w:rPr>
        <w:t> </w:t>
      </w:r>
      <w:r>
        <w:rPr/>
        <w:t>communications</w:t>
      </w:r>
      <w:r>
        <w:rPr>
          <w:spacing w:val="1"/>
        </w:rPr>
        <w:t> </w:t>
      </w:r>
      <w:r>
        <w:rPr/>
        <w:t>will be referred to the Lead Director. All such communications will be reviewed and, if necessary, investigated and/</w:t>
      </w:r>
      <w:r>
        <w:rPr>
          <w:spacing w:val="1"/>
        </w:rPr>
        <w:t> </w:t>
      </w:r>
      <w:r>
        <w:rPr/>
        <w:t>or addressed by the Lead Director and the status of such communications will be reported to the Board or the non-</w:t>
      </w:r>
      <w:r>
        <w:rPr>
          <w:spacing w:val="1"/>
        </w:rPr>
        <w:t> </w:t>
      </w:r>
      <w:r>
        <w:rPr/>
        <w:t>management Directors (as applicable) on a quarterly basis.</w:t>
      </w:r>
      <w:r>
        <w:rPr>
          <w:spacing w:val="1"/>
        </w:rPr>
        <w:t> </w:t>
      </w:r>
      <w:r>
        <w:rPr/>
        <w:t>The Lead Director may direct special treatment,</w:t>
      </w:r>
      <w:r>
        <w:rPr>
          <w:spacing w:val="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retention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outside</w:t>
      </w:r>
      <w:r>
        <w:rPr>
          <w:spacing w:val="-2"/>
        </w:rPr>
        <w:t> </w:t>
      </w:r>
      <w:r>
        <w:rPr/>
        <w:t>advisors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counsel,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any</w:t>
      </w:r>
      <w:r>
        <w:rPr>
          <w:spacing w:val="-2"/>
        </w:rPr>
        <w:t> </w:t>
      </w:r>
      <w:r>
        <w:rPr/>
        <w:t>such</w:t>
      </w:r>
      <w:r>
        <w:rPr>
          <w:spacing w:val="-2"/>
        </w:rPr>
        <w:t> </w:t>
      </w:r>
      <w:r>
        <w:rPr/>
        <w:t>concern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inquiry.</w:t>
      </w:r>
    </w:p>
    <w:p>
      <w:pPr>
        <w:pStyle w:val="Heading2"/>
        <w:spacing w:before="195"/>
      </w:pPr>
      <w:bookmarkStart w:name="Non-Management Directors’ Executive Sess" w:id="18"/>
      <w:bookmarkEnd w:id="18"/>
      <w:r>
        <w:rPr>
          <w:b w:val="0"/>
        </w:rPr>
      </w:r>
      <w:bookmarkStart w:name="_bookmark6" w:id="19"/>
      <w:bookmarkEnd w:id="19"/>
      <w:r>
        <w:rPr>
          <w:b w:val="0"/>
        </w:rPr>
      </w:r>
      <w:r>
        <w:rPr>
          <w:color w:val="00539E"/>
        </w:rPr>
        <w:t>Non-Management</w:t>
      </w:r>
      <w:r>
        <w:rPr>
          <w:color w:val="00539E"/>
          <w:spacing w:val="-7"/>
        </w:rPr>
        <w:t> </w:t>
      </w:r>
      <w:r>
        <w:rPr>
          <w:color w:val="00539E"/>
        </w:rPr>
        <w:t>Directors'</w:t>
      </w:r>
      <w:r>
        <w:rPr>
          <w:color w:val="00539E"/>
          <w:spacing w:val="-6"/>
        </w:rPr>
        <w:t> </w:t>
      </w:r>
      <w:r>
        <w:rPr>
          <w:color w:val="00539E"/>
        </w:rPr>
        <w:t>Executive</w:t>
      </w:r>
      <w:r>
        <w:rPr>
          <w:color w:val="00539E"/>
          <w:spacing w:val="-6"/>
        </w:rPr>
        <w:t> </w:t>
      </w:r>
      <w:r>
        <w:rPr>
          <w:color w:val="00539E"/>
        </w:rPr>
        <w:t>Sessions</w:t>
      </w:r>
    </w:p>
    <w:p>
      <w:pPr>
        <w:pStyle w:val="BodyText"/>
        <w:spacing w:line="249" w:lineRule="auto" w:before="221"/>
        <w:ind w:left="250" w:right="321"/>
      </w:pPr>
      <w:r>
        <w:rPr/>
        <w:t>Executive sessions of the Company's non-management Directors are scheduled in connection with regularly</w:t>
      </w:r>
      <w:r>
        <w:rPr>
          <w:spacing w:val="1"/>
        </w:rPr>
        <w:t> </w:t>
      </w:r>
      <w:r>
        <w:rPr/>
        <w:t>scheduled meetings of the Board and are held without management present. Executive sessions may also be held</w:t>
      </w:r>
      <w:r>
        <w:rPr>
          <w:spacing w:val="1"/>
        </w:rPr>
        <w:t> </w:t>
      </w:r>
      <w:r>
        <w:rPr/>
        <w:t>at such other times as requested by the non-management Directors. The Lead Director presides at these executive</w:t>
      </w:r>
      <w:r>
        <w:rPr>
          <w:spacing w:val="-53"/>
        </w:rPr>
        <w:t> </w:t>
      </w:r>
      <w:r>
        <w:rPr/>
        <w:t>sessions.</w:t>
      </w:r>
      <w:r>
        <w:rPr>
          <w:spacing w:val="47"/>
        </w:rPr>
        <w:t> </w:t>
      </w:r>
      <w:r>
        <w:rPr/>
        <w:t>During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year</w:t>
      </w:r>
      <w:r>
        <w:rPr>
          <w:spacing w:val="-5"/>
        </w:rPr>
        <w:t> </w:t>
      </w:r>
      <w:r>
        <w:rPr/>
        <w:t>ended</w:t>
      </w:r>
      <w:r>
        <w:rPr>
          <w:spacing w:val="-5"/>
        </w:rPr>
        <w:t> </w:t>
      </w:r>
      <w:r>
        <w:rPr/>
        <w:t>December</w:t>
      </w:r>
      <w:r>
        <w:rPr>
          <w:spacing w:val="-4"/>
        </w:rPr>
        <w:t> </w:t>
      </w:r>
      <w:r>
        <w:rPr/>
        <w:t>31,</w:t>
      </w:r>
      <w:r>
        <w:rPr>
          <w:spacing w:val="-5"/>
        </w:rPr>
        <w:t> </w:t>
      </w:r>
      <w:r>
        <w:rPr/>
        <w:t>2021,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non-management</w:t>
      </w:r>
      <w:r>
        <w:rPr>
          <w:spacing w:val="-5"/>
        </w:rPr>
        <w:t> </w:t>
      </w:r>
      <w:r>
        <w:rPr/>
        <w:t>Directors</w:t>
      </w:r>
      <w:r>
        <w:rPr>
          <w:spacing w:val="-4"/>
        </w:rPr>
        <w:t> </w:t>
      </w:r>
      <w:r>
        <w:rPr/>
        <w:t>held</w:t>
      </w:r>
      <w:r>
        <w:rPr>
          <w:spacing w:val="-5"/>
        </w:rPr>
        <w:t> </w:t>
      </w:r>
      <w:r>
        <w:rPr/>
        <w:t>four</w:t>
      </w:r>
      <w:r>
        <w:rPr>
          <w:spacing w:val="-5"/>
        </w:rPr>
        <w:t> </w:t>
      </w:r>
      <w:r>
        <w:rPr/>
        <w:t>executive</w:t>
      </w:r>
      <w:r>
        <w:rPr>
          <w:spacing w:val="-4"/>
        </w:rPr>
        <w:t> </w:t>
      </w:r>
      <w:r>
        <w:rPr/>
        <w:t>sessions.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Many</w:t>
      </w:r>
      <w:r>
        <w:rPr>
          <w:spacing w:val="-6"/>
        </w:rPr>
        <w:t> </w:t>
      </w:r>
      <w:r>
        <w:rPr/>
        <w:t>regular</w:t>
      </w:r>
      <w:r>
        <w:rPr>
          <w:spacing w:val="-6"/>
        </w:rPr>
        <w:t> </w:t>
      </w:r>
      <w:r>
        <w:rPr/>
        <w:t>quarterly</w:t>
      </w:r>
      <w:r>
        <w:rPr>
          <w:spacing w:val="-5"/>
        </w:rPr>
        <w:t> </w:t>
      </w:r>
      <w:r>
        <w:rPr/>
        <w:t>Board</w:t>
      </w:r>
      <w:r>
        <w:rPr>
          <w:spacing w:val="-6"/>
        </w:rPr>
        <w:t> </w:t>
      </w:r>
      <w:r>
        <w:rPr/>
        <w:t>committee</w:t>
      </w:r>
      <w:r>
        <w:rPr>
          <w:spacing w:val="-5"/>
        </w:rPr>
        <w:t> </w:t>
      </w:r>
      <w:r>
        <w:rPr/>
        <w:t>meetings</w:t>
      </w:r>
      <w:r>
        <w:rPr>
          <w:spacing w:val="-6"/>
        </w:rPr>
        <w:t> </w:t>
      </w:r>
      <w:r>
        <w:rPr/>
        <w:t>include</w:t>
      </w:r>
      <w:r>
        <w:rPr>
          <w:spacing w:val="-6"/>
        </w:rPr>
        <w:t> </w:t>
      </w:r>
      <w:r>
        <w:rPr/>
        <w:t>educational</w:t>
      </w:r>
      <w:r>
        <w:rPr>
          <w:spacing w:val="-5"/>
        </w:rPr>
        <w:t> </w:t>
      </w:r>
      <w:r>
        <w:rPr/>
        <w:t>briefings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regarding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 of strategic initiatives. The Company also provides an orientation program for new Directors, which includes</w:t>
      </w:r>
      <w:r>
        <w:rPr>
          <w:spacing w:val="1"/>
        </w:rPr>
        <w:t> </w:t>
      </w:r>
      <w:r>
        <w:rPr/>
        <w:t>an overview of duties and our corporate governance policies, as well as one-on-one sessions with each member of</w:t>
      </w:r>
      <w:r>
        <w:rPr>
          <w:spacing w:val="1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Company's</w:t>
      </w:r>
      <w:r>
        <w:rPr>
          <w:spacing w:val="-1"/>
        </w:rPr>
        <w:t> </w:t>
      </w:r>
      <w:r>
        <w:rPr/>
        <w:t>strategy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industry.</w:t>
      </w:r>
    </w:p>
    <w:p>
      <w:pPr>
        <w:spacing w:after="0" w:line="249" w:lineRule="auto"/>
        <w:sectPr>
          <w:pgSz w:w="12240" w:h="15840"/>
          <w:pgMar w:header="0" w:footer="518" w:top="740" w:bottom="780" w:left="740" w:right="700"/>
        </w:sectPr>
      </w:pPr>
    </w:p>
    <w:p>
      <w:pPr>
        <w:pStyle w:val="Heading2"/>
        <w:spacing w:before="64"/>
      </w:pPr>
      <w:bookmarkStart w:name="Board Leadership Structure" w:id="20"/>
      <w:bookmarkEnd w:id="20"/>
      <w:r>
        <w:rPr>
          <w:b w:val="0"/>
        </w:rPr>
      </w:r>
      <w:r>
        <w:rPr>
          <w:color w:val="00539E"/>
        </w:rPr>
        <w:t>Board</w:t>
      </w:r>
      <w:r>
        <w:rPr>
          <w:color w:val="00539E"/>
          <w:spacing w:val="-6"/>
        </w:rPr>
        <w:t> </w:t>
      </w:r>
      <w:r>
        <w:rPr>
          <w:color w:val="00539E"/>
        </w:rPr>
        <w:t>Leadership</w:t>
      </w:r>
      <w:r>
        <w:rPr>
          <w:color w:val="00539E"/>
          <w:spacing w:val="-5"/>
        </w:rPr>
        <w:t> </w:t>
      </w:r>
      <w:r>
        <w:rPr>
          <w:color w:val="00539E"/>
        </w:rPr>
        <w:t>Structure</w:t>
      </w:r>
    </w:p>
    <w:p>
      <w:pPr>
        <w:pStyle w:val="BodyText"/>
        <w:spacing w:line="249" w:lineRule="auto" w:before="221"/>
        <w:ind w:left="250" w:right="304"/>
      </w:pPr>
      <w:r>
        <w:rPr/>
        <w:t>The Company has separated the positions of chairman of the board and chief executive officer since 1996. Samuel</w:t>
      </w:r>
      <w:r>
        <w:rPr>
          <w:spacing w:val="1"/>
        </w:rPr>
        <w:t> </w:t>
      </w:r>
      <w:r>
        <w:rPr/>
        <w:t>Zell currently serves as Chairman of the Board, and Marguerite Nader currently serves as our President and Chief</w:t>
      </w:r>
      <w:r>
        <w:rPr>
          <w:spacing w:val="1"/>
        </w:rPr>
        <w:t> </w:t>
      </w:r>
      <w:r>
        <w:rPr/>
        <w:t>Executive Officer ("CEO") and is a member of the Board.</w:t>
      </w:r>
      <w:r>
        <w:rPr>
          <w:spacing w:val="54"/>
        </w:rPr>
        <w:t> </w:t>
      </w:r>
      <w:r>
        <w:rPr/>
        <w:t>Mr. Zell has served</w:t>
      </w:r>
      <w:r>
        <w:rPr>
          <w:spacing w:val="1"/>
        </w:rPr>
        <w:t> </w:t>
      </w:r>
      <w:r>
        <w:rPr/>
        <w:t>as Chairman of the Board since</w:t>
      </w:r>
      <w:r>
        <w:rPr>
          <w:spacing w:val="1"/>
        </w:rPr>
        <w:t> </w:t>
      </w:r>
      <w:r>
        <w:rPr/>
        <w:t>March 1995, and was previously Co-Chairman of the Board from December 1992 to March 1995, and is uniquely</w:t>
      </w:r>
      <w:r>
        <w:rPr>
          <w:spacing w:val="1"/>
        </w:rPr>
        <w:t> </w:t>
      </w:r>
      <w:r>
        <w:rPr/>
        <w:t>qualified to serve in this capacity. Mr. Zell is an active investor in public and private companies around the world to</w:t>
      </w:r>
      <w:r>
        <w:rPr>
          <w:spacing w:val="1"/>
        </w:rPr>
        <w:t> </w:t>
      </w:r>
      <w:r>
        <w:rPr/>
        <w:t>which he provides strategic direction.</w:t>
      </w:r>
      <w:r>
        <w:rPr>
          <w:spacing w:val="1"/>
        </w:rPr>
        <w:t> </w:t>
      </w:r>
      <w:r>
        <w:rPr/>
        <w:t>He has more than 50 years of experience as a chairman, director and</w:t>
      </w:r>
      <w:r>
        <w:rPr>
          <w:spacing w:val="1"/>
        </w:rPr>
        <w:t> </w:t>
      </w:r>
      <w:r>
        <w:rPr/>
        <w:t>executive of various companies, has managed billions of dollars in global investments and has a strong track record</w:t>
      </w:r>
      <w:r>
        <w:rPr>
          <w:spacing w:val="-53"/>
        </w:rPr>
        <w:t> </w:t>
      </w:r>
      <w:r>
        <w:rPr/>
        <w:t>of stewarding companies towards the maximization of their potential. Mr. Zell is recognized as a founder of the</w:t>
      </w:r>
      <w:r>
        <w:rPr>
          <w:spacing w:val="1"/>
        </w:rPr>
        <w:t> </w:t>
      </w:r>
      <w:r>
        <w:rPr/>
        <w:t>modern real estate investment trust industry and is a champion for increased transparency by public companies. As</w:t>
      </w:r>
      <w:r>
        <w:rPr>
          <w:spacing w:val="-53"/>
        </w:rPr>
        <w:t> </w:t>
      </w:r>
      <w:r>
        <w:rPr/>
        <w:t>our Chairman, Mr. Zell presides over meetings of the Board, stewards the Company, regularly counsels executive</w:t>
      </w:r>
      <w:r>
        <w:rPr>
          <w:spacing w:val="1"/>
        </w:rPr>
        <w:t> </w:t>
      </w:r>
      <w:r>
        <w:rPr/>
        <w:t>management regarding strategy and provides executive management with a network of resources across the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Mr. Calian, an independent Director, serves as the Board's Lead Director as discussed above. The Board</w:t>
      </w:r>
      <w:r>
        <w:rPr>
          <w:spacing w:val="1"/>
        </w:rPr>
        <w:t> </w:t>
      </w:r>
      <w:r>
        <w:rPr/>
        <w:t>has determined that this leadership structure is appropriate as it allows the CEO to focus on our day-to-day</w:t>
      </w:r>
      <w:r>
        <w:rPr>
          <w:spacing w:val="1"/>
        </w:rPr>
        <w:t> </w:t>
      </w:r>
      <w:r>
        <w:rPr/>
        <w:t>business, while allowing the Chairman of the Board to lead the Board in its fundamental role of providing advice to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independent</w:t>
      </w:r>
      <w:r>
        <w:rPr>
          <w:spacing w:val="-1"/>
        </w:rPr>
        <w:t> </w:t>
      </w:r>
      <w:r>
        <w:rPr/>
        <w:t>oversight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management.</w:t>
      </w:r>
    </w:p>
    <w:p>
      <w:pPr>
        <w:pStyle w:val="BodyText"/>
        <w:spacing w:before="8"/>
        <w:rPr>
          <w:sz w:val="17"/>
        </w:rPr>
      </w:pPr>
    </w:p>
    <w:p>
      <w:pPr>
        <w:pStyle w:val="Heading2"/>
      </w:pPr>
      <w:bookmarkStart w:name="Management Development and Succession Pl" w:id="21"/>
      <w:bookmarkEnd w:id="21"/>
      <w:r>
        <w:rPr>
          <w:b w:val="0"/>
        </w:rPr>
      </w:r>
      <w:bookmarkStart w:name="_bookmark7" w:id="22"/>
      <w:bookmarkEnd w:id="22"/>
      <w:r>
        <w:rPr>
          <w:b w:val="0"/>
        </w:rPr>
      </w:r>
      <w:r>
        <w:rPr>
          <w:color w:val="00539E"/>
        </w:rPr>
        <w:t>Management</w:t>
      </w:r>
      <w:r>
        <w:rPr>
          <w:color w:val="00539E"/>
          <w:spacing w:val="-5"/>
        </w:rPr>
        <w:t> </w:t>
      </w:r>
      <w:r>
        <w:rPr>
          <w:color w:val="00539E"/>
        </w:rPr>
        <w:t>Development</w:t>
      </w:r>
      <w:r>
        <w:rPr>
          <w:color w:val="00539E"/>
          <w:spacing w:val="-4"/>
        </w:rPr>
        <w:t> </w:t>
      </w:r>
      <w:r>
        <w:rPr>
          <w:color w:val="00539E"/>
        </w:rPr>
        <w:t>and</w:t>
      </w:r>
      <w:r>
        <w:rPr>
          <w:color w:val="00539E"/>
          <w:spacing w:val="-5"/>
        </w:rPr>
        <w:t> </w:t>
      </w:r>
      <w:r>
        <w:rPr>
          <w:color w:val="00539E"/>
        </w:rPr>
        <w:t>Succession</w:t>
      </w:r>
      <w:r>
        <w:rPr>
          <w:color w:val="00539E"/>
          <w:spacing w:val="-4"/>
        </w:rPr>
        <w:t> </w:t>
      </w:r>
      <w:r>
        <w:rPr>
          <w:color w:val="00539E"/>
        </w:rPr>
        <w:t>Planning</w:t>
      </w:r>
    </w:p>
    <w:p>
      <w:pPr>
        <w:pStyle w:val="BodyText"/>
        <w:spacing w:line="249" w:lineRule="auto" w:before="221"/>
        <w:ind w:left="250" w:right="282"/>
      </w:pPr>
      <w:r>
        <w:rPr/>
        <w:t>The Board's goal, through the oversight of the Compensation Committee, is to have an ongoing program for</w:t>
      </w:r>
      <w:r>
        <w:rPr>
          <w:spacing w:val="1"/>
        </w:rPr>
        <w:t> </w:t>
      </w:r>
      <w:r>
        <w:rPr/>
        <w:t>executive leadership development and succession for executive management. As reflected in the Guidelines on</w:t>
      </w:r>
      <w:r>
        <w:rPr>
          <w:spacing w:val="1"/>
        </w:rPr>
        <w:t> </w:t>
      </w:r>
      <w:r>
        <w:rPr/>
        <w:t>Corporate Governance, the Compensation Committee is responsible for overseeing the preparation of executive</w:t>
      </w:r>
      <w:r>
        <w:rPr>
          <w:spacing w:val="1"/>
        </w:rPr>
        <w:t> </w:t>
      </w:r>
      <w:r>
        <w:rPr/>
        <w:t>succession and management development plans tailored to reflect the Company's current business strategy and</w:t>
      </w:r>
      <w:r>
        <w:rPr>
          <w:spacing w:val="1"/>
        </w:rPr>
        <w:t> </w:t>
      </w:r>
      <w:r>
        <w:rPr/>
        <w:t>vision.</w:t>
      </w:r>
      <w:r>
        <w:rPr>
          <w:spacing w:val="1"/>
        </w:rPr>
        <w:t> </w:t>
      </w:r>
      <w:r>
        <w:rPr/>
        <w:t>The Compensation Committee and the CEO review these succession plans for senior management</w:t>
      </w:r>
      <w:r>
        <w:rPr>
          <w:spacing w:val="1"/>
        </w:rPr>
        <w:t> </w:t>
      </w:r>
      <w:r>
        <w:rPr/>
        <w:t>periodically and report to the Board on these plans.</w:t>
      </w:r>
      <w:r>
        <w:rPr>
          <w:spacing w:val="1"/>
        </w:rPr>
        <w:t> </w:t>
      </w:r>
      <w:r>
        <w:rPr/>
        <w:t>The succession plan involves creating profiles of ideal</w:t>
      </w:r>
      <w:r>
        <w:rPr>
          <w:spacing w:val="1"/>
        </w:rPr>
        <w:t> </w:t>
      </w:r>
      <w:r>
        <w:rPr/>
        <w:t>candidates and selecting successors expected to fit the needs of the Company over time.</w:t>
      </w:r>
      <w:r>
        <w:rPr>
          <w:spacing w:val="1"/>
        </w:rPr>
        <w:t> </w:t>
      </w:r>
      <w:r>
        <w:rPr/>
        <w:t>Individuals who are</w:t>
      </w:r>
      <w:r>
        <w:rPr>
          <w:spacing w:val="1"/>
        </w:rPr>
        <w:t> </w:t>
      </w:r>
      <w:r>
        <w:rPr/>
        <w:t>identified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high</w:t>
      </w:r>
      <w:r>
        <w:rPr>
          <w:spacing w:val="-5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leaders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given</w:t>
      </w:r>
      <w:r>
        <w:rPr>
          <w:spacing w:val="-5"/>
        </w:rPr>
        <w:t> </w:t>
      </w:r>
      <w:r>
        <w:rPr/>
        <w:t>exposure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visibility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Board</w:t>
      </w:r>
      <w:r>
        <w:rPr>
          <w:spacing w:val="-5"/>
        </w:rPr>
        <w:t> </w:t>
      </w:r>
      <w:r>
        <w:rPr/>
        <w:t>members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formal</w:t>
      </w:r>
      <w:r>
        <w:rPr>
          <w:spacing w:val="-5"/>
        </w:rPr>
        <w:t> </w:t>
      </w:r>
      <w:r>
        <w:rPr/>
        <w:t>presentations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informal</w:t>
      </w:r>
      <w:r>
        <w:rPr>
          <w:spacing w:val="-1"/>
        </w:rPr>
        <w:t> </w:t>
      </w:r>
      <w:r>
        <w:rPr/>
        <w:t>events.</w:t>
      </w:r>
    </w:p>
    <w:p>
      <w:pPr>
        <w:pStyle w:val="BodyText"/>
        <w:spacing w:before="3"/>
        <w:rPr>
          <w:sz w:val="17"/>
        </w:rPr>
      </w:pPr>
    </w:p>
    <w:p>
      <w:pPr>
        <w:pStyle w:val="Heading2"/>
      </w:pPr>
      <w:bookmarkStart w:name="Risk Oversight" w:id="23"/>
      <w:bookmarkEnd w:id="23"/>
      <w:r>
        <w:rPr>
          <w:b w:val="0"/>
        </w:rPr>
      </w:r>
      <w:bookmarkStart w:name="_bookmark8" w:id="24"/>
      <w:bookmarkEnd w:id="24"/>
      <w:r>
        <w:rPr>
          <w:b w:val="0"/>
        </w:rPr>
      </w:r>
      <w:r>
        <w:rPr>
          <w:color w:val="00539E"/>
        </w:rPr>
        <w:t>Risk</w:t>
      </w:r>
      <w:r>
        <w:rPr>
          <w:color w:val="00539E"/>
          <w:spacing w:val="-6"/>
        </w:rPr>
        <w:t> </w:t>
      </w:r>
      <w:r>
        <w:rPr>
          <w:color w:val="00539E"/>
        </w:rPr>
        <w:t>Oversight</w:t>
      </w:r>
    </w:p>
    <w:p>
      <w:pPr>
        <w:pStyle w:val="BodyText"/>
        <w:spacing w:line="249" w:lineRule="auto" w:before="220"/>
        <w:ind w:left="250" w:right="282"/>
      </w:pPr>
      <w:r>
        <w:rPr/>
        <w:t>Risk is inherent with every business, and how well a business manages risk can ultimately determine its success.</w:t>
      </w:r>
      <w:r>
        <w:rPr>
          <w:spacing w:val="1"/>
        </w:rPr>
        <w:t> </w:t>
      </w:r>
      <w:r>
        <w:rPr/>
        <w:t>The Company faces a number of risks, including economic, environmental and regulatory risks, and others such as</w:t>
      </w:r>
      <w:r>
        <w:rPr>
          <w:spacing w:val="1"/>
        </w:rPr>
        <w:t> </w:t>
      </w:r>
      <w:r>
        <w:rPr/>
        <w:t>the impact of competition, cyber security and weather conditions. The Company believes one way to manage risk is</w:t>
      </w:r>
      <w:r>
        <w:rPr>
          <w:spacing w:val="-53"/>
        </w:rPr>
        <w:t> </w:t>
      </w:r>
      <w:r>
        <w:rPr/>
        <w:t>to maintain balance sheet flexibility and evaluate major capital items, including the dividend policy, debt policy,</w:t>
      </w:r>
      <w:r>
        <w:rPr>
          <w:spacing w:val="1"/>
        </w:rPr>
        <w:t> </w:t>
      </w:r>
      <w:r>
        <w:rPr/>
        <w:t>acquisitions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dispositions,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equity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debt</w:t>
      </w:r>
      <w:r>
        <w:rPr>
          <w:spacing w:val="-4"/>
        </w:rPr>
        <w:t> </w:t>
      </w:r>
      <w:r>
        <w:rPr/>
        <w:t>issuances,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light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impact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flexibility.</w:t>
      </w:r>
    </w:p>
    <w:p>
      <w:pPr>
        <w:pStyle w:val="BodyText"/>
        <w:spacing w:line="249" w:lineRule="auto" w:before="5"/>
        <w:ind w:left="250" w:right="349"/>
      </w:pPr>
      <w:r>
        <w:rPr/>
        <w:t>Management is responsible for the day-to-day management of risks the Company faces, while the Board, as a</w:t>
      </w:r>
      <w:r>
        <w:rPr>
          <w:spacing w:val="1"/>
        </w:rPr>
        <w:t> </w:t>
      </w:r>
      <w:r>
        <w:rPr/>
        <w:t>whole and through its committees, has responsibility for the oversight of risk management. In its risk oversight role,</w:t>
      </w:r>
      <w:r>
        <w:rPr>
          <w:spacing w:val="-53"/>
        </w:rPr>
        <w:t> </w:t>
      </w:r>
      <w:r>
        <w:rPr/>
        <w:t>the Board has the responsibility to satisfy itself that the risk management processes designed by management are</w:t>
      </w:r>
      <w:r>
        <w:rPr>
          <w:spacing w:val="1"/>
        </w:rPr>
        <w:t> </w:t>
      </w:r>
      <w:r>
        <w:rPr/>
        <w:t>adequate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functioning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designed.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The Board believes that establishing the right "tone at the top" and full and open communications between</w:t>
      </w:r>
      <w:r>
        <w:rPr>
          <w:spacing w:val="1"/>
        </w:rPr>
        <w:t> </w:t>
      </w:r>
      <w:r>
        <w:rPr/>
        <w:t>management and the Board are essential for effective risk management and oversight. Our CEO meets quarterly</w:t>
      </w:r>
      <w:r>
        <w:rPr>
          <w:spacing w:val="1"/>
        </w:rPr>
        <w:t> </w:t>
      </w:r>
      <w:r>
        <w:rPr/>
        <w:t>with Board Committee chairpersons, updating them on a variety of matters, including risk management and related</w:t>
      </w:r>
      <w:r>
        <w:rPr>
          <w:spacing w:val="-53"/>
        </w:rPr>
        <w:t> </w:t>
      </w:r>
      <w:r>
        <w:rPr/>
        <w:t>controls.</w:t>
      </w:r>
      <w:r>
        <w:rPr>
          <w:spacing w:val="46"/>
        </w:rPr>
        <w:t> </w:t>
      </w:r>
      <w:r>
        <w:rPr/>
        <w:t>Our</w:t>
      </w:r>
      <w:r>
        <w:rPr>
          <w:spacing w:val="-4"/>
        </w:rPr>
        <w:t> </w:t>
      </w:r>
      <w:r>
        <w:rPr/>
        <w:t>CEO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meets</w:t>
      </w:r>
      <w:r>
        <w:rPr>
          <w:spacing w:val="-5"/>
        </w:rPr>
        <w:t> </w:t>
      </w:r>
      <w:r>
        <w:rPr/>
        <w:t>monthly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our</w:t>
      </w:r>
      <w:r>
        <w:rPr>
          <w:spacing w:val="-4"/>
        </w:rPr>
        <w:t> </w:t>
      </w:r>
      <w:r>
        <w:rPr/>
        <w:t>Lead</w:t>
      </w:r>
      <w:r>
        <w:rPr>
          <w:spacing w:val="-5"/>
        </w:rPr>
        <w:t> </w:t>
      </w:r>
      <w:r>
        <w:rPr/>
        <w:t>Director.</w:t>
      </w:r>
      <w:r>
        <w:rPr>
          <w:spacing w:val="47"/>
        </w:rPr>
        <w:t> </w:t>
      </w:r>
      <w:r>
        <w:rPr/>
        <w:t>Our</w:t>
      </w:r>
      <w:r>
        <w:rPr>
          <w:spacing w:val="-5"/>
        </w:rPr>
        <w:t> </w:t>
      </w:r>
      <w:r>
        <w:rPr/>
        <w:t>Executive</w:t>
      </w:r>
      <w:r>
        <w:rPr>
          <w:spacing w:val="-5"/>
        </w:rPr>
        <w:t> </w:t>
      </w:r>
      <w:r>
        <w:rPr/>
        <w:t>Officers</w:t>
      </w:r>
      <w:r>
        <w:rPr>
          <w:spacing w:val="-5"/>
        </w:rPr>
        <w:t> </w:t>
      </w:r>
      <w:r>
        <w:rPr/>
        <w:t>attend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quarterly</w:t>
      </w:r>
      <w:r>
        <w:rPr>
          <w:spacing w:val="-4"/>
        </w:rPr>
        <w:t> </w:t>
      </w:r>
      <w:r>
        <w:rPr/>
        <w:t>Board</w:t>
      </w:r>
      <w:r>
        <w:rPr>
          <w:spacing w:val="1"/>
        </w:rPr>
        <w:t> </w:t>
      </w:r>
      <w:r>
        <w:rPr/>
        <w:t>meeting and are available to address any questions or concerns raised by the Board on risk management-related</w:t>
      </w:r>
      <w:r>
        <w:rPr>
          <w:spacing w:val="1"/>
        </w:rPr>
        <w:t> </w:t>
      </w:r>
      <w:r>
        <w:rPr/>
        <w:t>and any other matters. At the quarterly Board meetings, the Board receives presentations from our Executive</w:t>
      </w:r>
      <w:r>
        <w:rPr>
          <w:spacing w:val="1"/>
        </w:rPr>
        <w:t> </w:t>
      </w:r>
      <w:r>
        <w:rPr/>
        <w:t>Officers on strategic matters involving the Company's operations. Our Executive Officers also attend Strategic</w:t>
      </w:r>
      <w:r>
        <w:rPr>
          <w:spacing w:val="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meetings</w:t>
      </w:r>
      <w:r>
        <w:rPr>
          <w:spacing w:val="-2"/>
        </w:rPr>
        <w:t> </w:t>
      </w:r>
      <w:r>
        <w:rPr/>
        <w:t>and</w:t>
      </w:r>
      <w:r>
        <w:rPr>
          <w:spacing w:val="-12"/>
        </w:rPr>
        <w:t> </w:t>
      </w:r>
      <w:r>
        <w:rPr/>
        <w:t>Audit</w:t>
      </w:r>
      <w:r>
        <w:rPr>
          <w:spacing w:val="-3"/>
        </w:rPr>
        <w:t> </w:t>
      </w:r>
      <w:r>
        <w:rPr/>
        <w:t>Committee</w:t>
      </w:r>
      <w:r>
        <w:rPr>
          <w:spacing w:val="-2"/>
        </w:rPr>
        <w:t> </w:t>
      </w:r>
      <w:r>
        <w:rPr/>
        <w:t>meetings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report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topics.</w:t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/>
        <w:ind w:left="250" w:right="282"/>
      </w:pPr>
      <w:r>
        <w:rPr/>
        <w:t>While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Board</w:t>
      </w:r>
      <w:r>
        <w:rPr>
          <w:spacing w:val="-5"/>
        </w:rPr>
        <w:t> </w:t>
      </w:r>
      <w:r>
        <w:rPr/>
        <w:t>is</w:t>
      </w:r>
      <w:r>
        <w:rPr>
          <w:spacing w:val="-5"/>
        </w:rPr>
        <w:t> </w:t>
      </w:r>
      <w:r>
        <w:rPr/>
        <w:t>ultimately</w:t>
      </w:r>
      <w:r>
        <w:rPr>
          <w:spacing w:val="-5"/>
        </w:rPr>
        <w:t> </w:t>
      </w:r>
      <w:r>
        <w:rPr/>
        <w:t>responsible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risk</w:t>
      </w:r>
      <w:r>
        <w:rPr>
          <w:spacing w:val="-5"/>
        </w:rPr>
        <w:t> </w:t>
      </w:r>
      <w:r>
        <w:rPr/>
        <w:t>oversight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Company,</w:t>
      </w:r>
      <w:r>
        <w:rPr>
          <w:spacing w:val="-6"/>
        </w:rPr>
        <w:t> </w:t>
      </w:r>
      <w:r>
        <w:rPr/>
        <w:t>our</w:t>
      </w:r>
      <w:r>
        <w:rPr>
          <w:spacing w:val="-5"/>
        </w:rPr>
        <w:t> </w:t>
      </w:r>
      <w:r>
        <w:rPr/>
        <w:t>four</w:t>
      </w:r>
      <w:r>
        <w:rPr>
          <w:spacing w:val="-5"/>
        </w:rPr>
        <w:t> </w:t>
      </w:r>
      <w:r>
        <w:rPr/>
        <w:t>Board</w:t>
      </w:r>
      <w:r>
        <w:rPr>
          <w:spacing w:val="-5"/>
        </w:rPr>
        <w:t> </w:t>
      </w:r>
      <w:r>
        <w:rPr/>
        <w:t>Committees</w:t>
      </w:r>
      <w:r>
        <w:rPr>
          <w:spacing w:val="-5"/>
        </w:rPr>
        <w:t> </w:t>
      </w:r>
      <w:r>
        <w:rPr/>
        <w:t>assist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Board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fulfilling</w:t>
      </w:r>
      <w:r>
        <w:rPr>
          <w:spacing w:val="-2"/>
        </w:rPr>
        <w:t> </w:t>
      </w:r>
      <w:r>
        <w:rPr/>
        <w:t>its</w:t>
      </w:r>
      <w:r>
        <w:rPr>
          <w:spacing w:val="-2"/>
        </w:rPr>
        <w:t> </w:t>
      </w:r>
      <w:r>
        <w:rPr/>
        <w:t>oversight</w:t>
      </w:r>
      <w:r>
        <w:rPr>
          <w:spacing w:val="-1"/>
        </w:rPr>
        <w:t> </w:t>
      </w:r>
      <w:r>
        <w:rPr/>
        <w:t>responsibilities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certain</w:t>
      </w:r>
      <w:r>
        <w:rPr>
          <w:spacing w:val="-2"/>
        </w:rPr>
        <w:t> </w:t>
      </w:r>
      <w:r>
        <w:rPr/>
        <w:t>areas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risk.</w:t>
      </w:r>
    </w:p>
    <w:p>
      <w:pPr>
        <w:spacing w:after="0" w:line="249" w:lineRule="auto"/>
        <w:sectPr>
          <w:pgSz w:w="12240" w:h="15840"/>
          <w:pgMar w:header="0" w:footer="518" w:top="740" w:bottom="780" w:left="740" w:right="700"/>
        </w:sectPr>
      </w:pPr>
    </w:p>
    <w:p>
      <w:pPr>
        <w:tabs>
          <w:tab w:pos="4047" w:val="left" w:leader="none"/>
          <w:tab w:pos="10199" w:val="left" w:leader="none"/>
        </w:tabs>
        <w:spacing w:before="82"/>
        <w:ind w:left="0" w:right="98" w:firstLine="0"/>
        <w:jc w:val="center"/>
        <w:rPr>
          <w:b/>
          <w:sz w:val="24"/>
        </w:rPr>
      </w:pPr>
      <w:r>
        <w:rPr>
          <w:rFonts w:ascii="Times New Roman"/>
          <w:color w:val="FFFFFF"/>
          <w:sz w:val="24"/>
          <w:shd w:fill="F08A1F" w:color="auto" w:val="clear"/>
        </w:rPr>
        <w:t> </w:t>
        <w:tab/>
      </w:r>
      <w:r>
        <w:rPr>
          <w:b/>
          <w:color w:val="FFFFFF"/>
          <w:sz w:val="24"/>
          <w:shd w:fill="F08A1F" w:color="auto" w:val="clear"/>
        </w:rPr>
        <w:t>Board</w:t>
      </w:r>
      <w:r>
        <w:rPr>
          <w:b/>
          <w:color w:val="FFFFFF"/>
          <w:spacing w:val="-3"/>
          <w:sz w:val="24"/>
          <w:shd w:fill="F08A1F" w:color="auto" w:val="clear"/>
        </w:rPr>
        <w:t> </w:t>
      </w:r>
      <w:r>
        <w:rPr>
          <w:b/>
          <w:color w:val="FFFFFF"/>
          <w:sz w:val="24"/>
          <w:shd w:fill="F08A1F" w:color="auto" w:val="clear"/>
        </w:rPr>
        <w:t>of</w:t>
      </w:r>
      <w:r>
        <w:rPr>
          <w:b/>
          <w:color w:val="FFFFFF"/>
          <w:spacing w:val="-2"/>
          <w:sz w:val="24"/>
          <w:shd w:fill="F08A1F" w:color="auto" w:val="clear"/>
        </w:rPr>
        <w:t> </w:t>
      </w:r>
      <w:r>
        <w:rPr>
          <w:b/>
          <w:color w:val="FFFFFF"/>
          <w:sz w:val="24"/>
          <w:shd w:fill="F08A1F" w:color="auto" w:val="clear"/>
        </w:rPr>
        <w:t>Directors</w:t>
        <w:tab/>
      </w:r>
    </w:p>
    <w:p>
      <w:pPr>
        <w:pStyle w:val="BodyText"/>
        <w:spacing w:line="208" w:lineRule="auto" w:before="200"/>
        <w:ind w:left="1461" w:right="1561"/>
        <w:jc w:val="center"/>
      </w:pPr>
      <w:r>
        <w:rPr/>
        <w:t>Oversees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Company's</w:t>
      </w:r>
      <w:r>
        <w:rPr>
          <w:spacing w:val="-5"/>
        </w:rPr>
        <w:t> </w:t>
      </w:r>
      <w:r>
        <w:rPr/>
        <w:t>most</w:t>
      </w:r>
      <w:r>
        <w:rPr>
          <w:spacing w:val="-5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risks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ensures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responds</w:t>
      </w:r>
      <w:r>
        <w:rPr>
          <w:spacing w:val="-52"/>
        </w:rPr>
        <w:t> </w:t>
      </w:r>
      <w:r>
        <w:rPr/>
        <w:t>with</w:t>
      </w:r>
      <w:r>
        <w:rPr>
          <w:spacing w:val="-2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strategic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tactical</w:t>
      </w:r>
      <w:r>
        <w:rPr>
          <w:spacing w:val="-1"/>
        </w:rPr>
        <w:t> </w:t>
      </w:r>
      <w:r>
        <w:rPr/>
        <w:t>mitigation</w:t>
      </w:r>
      <w:r>
        <w:rPr>
          <w:spacing w:val="-2"/>
        </w:rPr>
        <w:t> </w:t>
      </w:r>
      <w:r>
        <w:rPr/>
        <w:t>plans.</w:t>
      </w:r>
    </w:p>
    <w:p>
      <w:pPr>
        <w:pStyle w:val="BodyText"/>
        <w:spacing w:before="3"/>
        <w:rPr>
          <w:sz w:val="26"/>
        </w:rPr>
      </w:pPr>
      <w:r>
        <w:rPr/>
        <w:pict>
          <v:group style="position:absolute;margin-left:60pt;margin-top:16.342871pt;width:492pt;height:42pt;mso-position-horizontal-relative:page;mso-position-vertical-relative:paragraph;z-index:-15718400;mso-wrap-distance-left:0;mso-wrap-distance-right:0" id="docshapegroup12" coordorigin="1200,327" coordsize="9840,840">
            <v:rect style="position:absolute;left:1200;top:326;width:9840;height:840" id="docshape13" filled="true" fillcolor="#00539e" stroked="false">
              <v:fill type="solid"/>
            </v:rect>
            <v:shape style="position:absolute;left:5053;top:411;width:2154;height:269" type="#_x0000_t202" id="docshape14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Board</w:t>
                    </w:r>
                    <w:r>
                      <w:rPr>
                        <w:b/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Committees</w:t>
                    </w:r>
                  </w:p>
                </w:txbxContent>
              </v:textbox>
              <w10:wrap type="none"/>
            </v:shape>
            <v:shape style="position:absolute;left:2174;top:857;width:531;height:224" type="#_x0000_t202" id="docshape15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Audit</w:t>
                    </w:r>
                  </w:p>
                </w:txbxContent>
              </v:textbox>
              <w10:wrap type="none"/>
            </v:shape>
            <v:shape style="position:absolute;left:4196;top:857;width:1408;height:224" type="#_x0000_t202" id="docshape16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Compensation</w:t>
                    </w:r>
                  </w:p>
                </w:txbxContent>
              </v:textbox>
              <w10:wrap type="none"/>
            </v:shape>
            <v:shape style="position:absolute;left:6883;top:857;width:954;height:224" type="#_x0000_t202" id="docshape17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Executive</w:t>
                    </w:r>
                  </w:p>
                </w:txbxContent>
              </v:textbox>
              <w10:wrap type="none"/>
            </v:shape>
            <v:shape style="position:absolute;left:8933;top:857;width:1774;height:224" type="#_x0000_t202" id="docshape18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FFFFFF"/>
                        <w:sz w:val="20"/>
                      </w:rPr>
                      <w:t>Strategic</w:t>
                    </w:r>
                    <w:r>
                      <w:rPr>
                        <w:b/>
                        <w:color w:val="FFFFFF"/>
                        <w:spacing w:val="-10"/>
                        <w:sz w:val="20"/>
                      </w:rPr>
                      <w:t> </w:t>
                    </w:r>
                    <w:r>
                      <w:rPr>
                        <w:b/>
                        <w:color w:val="FFFFFF"/>
                        <w:sz w:val="20"/>
                      </w:rPr>
                      <w:t>Planning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5"/>
        <w:spacing w:before="89"/>
        <w:ind w:left="1365"/>
      </w:pPr>
      <w:r>
        <w:rPr>
          <w:spacing w:val="-1"/>
        </w:rPr>
        <w:t>..............................................…</w:t>
      </w:r>
      <w:r>
        <w:rPr>
          <w:spacing w:val="-12"/>
        </w:rPr>
        <w:t> </w:t>
      </w:r>
      <w:r>
        <w:rPr/>
        <w:t>Oversees</w:t>
      </w:r>
      <w:r>
        <w:rPr>
          <w:spacing w:val="-11"/>
        </w:rPr>
        <w:t> </w:t>
      </w:r>
      <w:r>
        <w:rPr/>
        <w:t>Risk</w:t>
      </w:r>
      <w:r>
        <w:rPr>
          <w:spacing w:val="-11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to</w:t>
      </w:r>
      <w:r>
        <w:rPr>
          <w:spacing w:val="-11"/>
        </w:rPr>
        <w:t> </w:t>
      </w:r>
      <w:r>
        <w:rPr/>
        <w:t>..................................................</w:t>
      </w:r>
    </w:p>
    <w:p>
      <w:pPr>
        <w:spacing w:after="0"/>
        <w:sectPr>
          <w:pgSz w:w="12240" w:h="15840"/>
          <w:pgMar w:header="0" w:footer="518" w:top="820" w:bottom="780" w:left="740" w:right="700"/>
        </w:sectPr>
      </w:pPr>
    </w:p>
    <w:p>
      <w:pPr>
        <w:pStyle w:val="ListParagraph"/>
        <w:numPr>
          <w:ilvl w:val="2"/>
          <w:numId w:val="6"/>
        </w:numPr>
        <w:tabs>
          <w:tab w:pos="1052" w:val="left" w:leader="none"/>
          <w:tab w:pos="1053" w:val="left" w:leader="none"/>
        </w:tabs>
        <w:spacing w:line="240" w:lineRule="auto" w:before="119" w:after="0"/>
        <w:ind w:left="1052" w:right="0" w:hanging="361"/>
        <w:jc w:val="left"/>
        <w:rPr>
          <w:sz w:val="20"/>
        </w:rPr>
      </w:pPr>
      <w:r>
        <w:rPr>
          <w:sz w:val="20"/>
        </w:rPr>
        <w:t>Financial</w:t>
      </w:r>
      <w:r>
        <w:rPr>
          <w:spacing w:val="-8"/>
          <w:sz w:val="20"/>
        </w:rPr>
        <w:t> </w:t>
      </w:r>
      <w:r>
        <w:rPr>
          <w:sz w:val="20"/>
        </w:rPr>
        <w:t>Reporting</w:t>
      </w:r>
    </w:p>
    <w:p>
      <w:pPr>
        <w:pStyle w:val="ListParagraph"/>
        <w:numPr>
          <w:ilvl w:val="2"/>
          <w:numId w:val="6"/>
        </w:numPr>
        <w:tabs>
          <w:tab w:pos="1052" w:val="left" w:leader="none"/>
          <w:tab w:pos="1053" w:val="left" w:leader="none"/>
        </w:tabs>
        <w:spacing w:line="240" w:lineRule="auto" w:before="70" w:after="0"/>
        <w:ind w:left="1052" w:right="0" w:hanging="361"/>
        <w:jc w:val="left"/>
        <w:rPr>
          <w:sz w:val="20"/>
        </w:rPr>
      </w:pPr>
      <w:r>
        <w:rPr>
          <w:sz w:val="20"/>
        </w:rPr>
        <w:t>Internal</w:t>
      </w:r>
      <w:r>
        <w:rPr>
          <w:spacing w:val="-7"/>
          <w:sz w:val="20"/>
        </w:rPr>
        <w:t> </w:t>
      </w:r>
      <w:r>
        <w:rPr>
          <w:sz w:val="20"/>
        </w:rPr>
        <w:t>Controls</w:t>
      </w:r>
    </w:p>
    <w:p>
      <w:pPr>
        <w:pStyle w:val="ListParagraph"/>
        <w:numPr>
          <w:ilvl w:val="2"/>
          <w:numId w:val="6"/>
        </w:numPr>
        <w:tabs>
          <w:tab w:pos="1052" w:val="left" w:leader="none"/>
          <w:tab w:pos="1053" w:val="left" w:leader="none"/>
        </w:tabs>
        <w:spacing w:line="249" w:lineRule="auto" w:before="70" w:after="0"/>
        <w:ind w:left="1052" w:right="98" w:hanging="360"/>
        <w:jc w:val="left"/>
        <w:rPr>
          <w:sz w:val="20"/>
        </w:rPr>
      </w:pPr>
      <w:r>
        <w:rPr>
          <w:sz w:val="20"/>
        </w:rPr>
        <w:t>Compliance with</w:t>
      </w:r>
      <w:r>
        <w:rPr>
          <w:spacing w:val="1"/>
          <w:sz w:val="20"/>
        </w:rPr>
        <w:t> </w:t>
      </w:r>
      <w:r>
        <w:rPr>
          <w:sz w:val="20"/>
        </w:rPr>
        <w:t>Legal &amp; Regulatory</w:t>
      </w:r>
      <w:r>
        <w:rPr>
          <w:spacing w:val="-54"/>
          <w:sz w:val="20"/>
        </w:rPr>
        <w:t> </w:t>
      </w:r>
      <w:r>
        <w:rPr>
          <w:sz w:val="20"/>
        </w:rPr>
        <w:t>Requirements</w:t>
      </w:r>
    </w:p>
    <w:p>
      <w:pPr>
        <w:pStyle w:val="ListParagraph"/>
        <w:numPr>
          <w:ilvl w:val="2"/>
          <w:numId w:val="6"/>
        </w:numPr>
        <w:tabs>
          <w:tab w:pos="1052" w:val="left" w:leader="none"/>
          <w:tab w:pos="1053" w:val="left" w:leader="none"/>
        </w:tabs>
        <w:spacing w:line="249" w:lineRule="auto" w:before="62" w:after="0"/>
        <w:ind w:left="1052" w:right="276" w:hanging="360"/>
        <w:jc w:val="left"/>
        <w:rPr>
          <w:sz w:val="20"/>
        </w:rPr>
      </w:pPr>
      <w:r>
        <w:rPr>
          <w:spacing w:val="-2"/>
          <w:sz w:val="20"/>
        </w:rPr>
        <w:t>Risk </w:t>
      </w:r>
      <w:r>
        <w:rPr>
          <w:spacing w:val="-1"/>
          <w:sz w:val="20"/>
        </w:rPr>
        <w:t>Assessment</w:t>
      </w:r>
      <w:r>
        <w:rPr>
          <w:spacing w:val="-53"/>
          <w:sz w:val="20"/>
        </w:rPr>
        <w:t> </w:t>
      </w:r>
      <w:r>
        <w:rPr>
          <w:sz w:val="20"/>
        </w:rPr>
        <w:t>and Risk</w:t>
      </w:r>
      <w:r>
        <w:rPr>
          <w:spacing w:val="1"/>
          <w:sz w:val="20"/>
        </w:rPr>
        <w:t> </w:t>
      </w:r>
      <w:r>
        <w:rPr>
          <w:sz w:val="20"/>
        </w:rPr>
        <w:t>Management</w:t>
      </w:r>
    </w:p>
    <w:p>
      <w:pPr>
        <w:pStyle w:val="ListParagraph"/>
        <w:numPr>
          <w:ilvl w:val="2"/>
          <w:numId w:val="6"/>
        </w:numPr>
        <w:tabs>
          <w:tab w:pos="1052" w:val="left" w:leader="none"/>
          <w:tab w:pos="1053" w:val="left" w:leader="none"/>
        </w:tabs>
        <w:spacing w:line="240" w:lineRule="auto" w:before="63" w:after="0"/>
        <w:ind w:left="1052" w:right="0" w:hanging="361"/>
        <w:jc w:val="left"/>
        <w:rPr>
          <w:sz w:val="20"/>
        </w:rPr>
      </w:pPr>
      <w:r>
        <w:rPr>
          <w:sz w:val="20"/>
        </w:rPr>
        <w:t>Insurance</w:t>
      </w:r>
      <w:r>
        <w:rPr>
          <w:spacing w:val="-10"/>
          <w:sz w:val="20"/>
        </w:rPr>
        <w:t> </w:t>
      </w:r>
      <w:r>
        <w:rPr>
          <w:sz w:val="20"/>
        </w:rPr>
        <w:t>Coverage</w:t>
      </w:r>
    </w:p>
    <w:p>
      <w:pPr>
        <w:pStyle w:val="ListParagraph"/>
        <w:numPr>
          <w:ilvl w:val="2"/>
          <w:numId w:val="6"/>
        </w:numPr>
        <w:tabs>
          <w:tab w:pos="1052" w:val="left" w:leader="none"/>
          <w:tab w:pos="1053" w:val="left" w:leader="none"/>
        </w:tabs>
        <w:spacing w:line="240" w:lineRule="auto" w:before="70" w:after="0"/>
        <w:ind w:left="1052" w:right="0" w:hanging="361"/>
        <w:jc w:val="left"/>
        <w:rPr>
          <w:sz w:val="20"/>
        </w:rPr>
      </w:pPr>
      <w:r>
        <w:rPr>
          <w:sz w:val="20"/>
        </w:rPr>
        <w:t>Interest</w:t>
      </w:r>
      <w:r>
        <w:rPr>
          <w:spacing w:val="-6"/>
          <w:sz w:val="20"/>
        </w:rPr>
        <w:t> </w:t>
      </w:r>
      <w:r>
        <w:rPr>
          <w:sz w:val="20"/>
        </w:rPr>
        <w:t>Rates</w:t>
      </w:r>
    </w:p>
    <w:p>
      <w:pPr>
        <w:pStyle w:val="ListParagraph"/>
        <w:numPr>
          <w:ilvl w:val="2"/>
          <w:numId w:val="6"/>
        </w:numPr>
        <w:tabs>
          <w:tab w:pos="1052" w:val="left" w:leader="none"/>
          <w:tab w:pos="1053" w:val="left" w:leader="none"/>
        </w:tabs>
        <w:spacing w:line="240" w:lineRule="auto" w:before="70" w:after="0"/>
        <w:ind w:left="1052" w:right="0" w:hanging="361"/>
        <w:jc w:val="left"/>
        <w:rPr>
          <w:sz w:val="20"/>
        </w:rPr>
      </w:pPr>
      <w:r>
        <w:rPr>
          <w:sz w:val="20"/>
        </w:rPr>
        <w:t>Cyber</w:t>
      </w:r>
      <w:r>
        <w:rPr>
          <w:spacing w:val="-5"/>
          <w:sz w:val="20"/>
        </w:rPr>
        <w:t> </w:t>
      </w:r>
      <w:r>
        <w:rPr>
          <w:sz w:val="20"/>
        </w:rPr>
        <w:t>Security</w:t>
      </w:r>
    </w:p>
    <w:p>
      <w:pPr>
        <w:pStyle w:val="ListParagraph"/>
        <w:numPr>
          <w:ilvl w:val="2"/>
          <w:numId w:val="6"/>
        </w:numPr>
        <w:tabs>
          <w:tab w:pos="1052" w:val="left" w:leader="none"/>
          <w:tab w:pos="1053" w:val="left" w:leader="none"/>
        </w:tabs>
        <w:spacing w:line="240" w:lineRule="auto" w:before="70" w:after="0"/>
        <w:ind w:left="1052" w:right="0" w:hanging="361"/>
        <w:jc w:val="left"/>
        <w:rPr>
          <w:sz w:val="20"/>
        </w:rPr>
      </w:pPr>
      <w:r>
        <w:rPr>
          <w:sz w:val="20"/>
        </w:rPr>
        <w:t>Human</w:t>
      </w:r>
      <w:r>
        <w:rPr>
          <w:spacing w:val="-5"/>
          <w:sz w:val="20"/>
        </w:rPr>
        <w:t> </w:t>
      </w:r>
      <w:r>
        <w:rPr>
          <w:sz w:val="20"/>
        </w:rPr>
        <w:t>Rights</w:t>
      </w:r>
    </w:p>
    <w:p>
      <w:pPr>
        <w:pStyle w:val="ListParagraph"/>
        <w:numPr>
          <w:ilvl w:val="2"/>
          <w:numId w:val="6"/>
        </w:numPr>
        <w:tabs>
          <w:tab w:pos="1052" w:val="left" w:leader="none"/>
          <w:tab w:pos="1053" w:val="left" w:leader="none"/>
        </w:tabs>
        <w:spacing w:line="240" w:lineRule="auto" w:before="70" w:after="0"/>
        <w:ind w:left="1052" w:right="0" w:hanging="361"/>
        <w:jc w:val="left"/>
        <w:rPr>
          <w:sz w:val="20"/>
        </w:rPr>
      </w:pPr>
      <w:r>
        <w:rPr>
          <w:sz w:val="20"/>
        </w:rPr>
        <w:t>ESG</w:t>
      </w:r>
    </w:p>
    <w:p>
      <w:pPr>
        <w:pStyle w:val="ListParagraph"/>
        <w:numPr>
          <w:ilvl w:val="0"/>
          <w:numId w:val="8"/>
        </w:numPr>
        <w:tabs>
          <w:tab w:pos="619" w:val="left" w:leader="none"/>
          <w:tab w:pos="620" w:val="left" w:leader="none"/>
        </w:tabs>
        <w:spacing w:line="249" w:lineRule="auto" w:before="119" w:after="0"/>
        <w:ind w:left="619" w:right="0" w:hanging="360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Compensation</w:t>
      </w:r>
      <w:r>
        <w:rPr>
          <w:spacing w:val="1"/>
          <w:sz w:val="20"/>
        </w:rPr>
        <w:t> </w:t>
      </w:r>
      <w:r>
        <w:rPr>
          <w:sz w:val="20"/>
        </w:rPr>
        <w:t>Policies</w:t>
      </w:r>
      <w:r>
        <w:rPr>
          <w:spacing w:val="-6"/>
          <w:sz w:val="20"/>
        </w:rPr>
        <w:t> </w:t>
      </w:r>
      <w:r>
        <w:rPr>
          <w:sz w:val="20"/>
        </w:rPr>
        <w:t>&amp;</w:t>
      </w:r>
      <w:r>
        <w:rPr>
          <w:spacing w:val="-6"/>
          <w:sz w:val="20"/>
        </w:rPr>
        <w:t> </w:t>
      </w:r>
      <w:r>
        <w:rPr>
          <w:sz w:val="20"/>
        </w:rPr>
        <w:t>Programs</w:t>
      </w:r>
    </w:p>
    <w:p>
      <w:pPr>
        <w:pStyle w:val="ListParagraph"/>
        <w:numPr>
          <w:ilvl w:val="0"/>
          <w:numId w:val="8"/>
        </w:numPr>
        <w:tabs>
          <w:tab w:pos="619" w:val="left" w:leader="none"/>
          <w:tab w:pos="620" w:val="left" w:leader="none"/>
        </w:tabs>
        <w:spacing w:line="249" w:lineRule="auto" w:before="61" w:after="0"/>
        <w:ind w:left="619" w:right="19" w:hanging="360"/>
        <w:jc w:val="left"/>
        <w:rPr>
          <w:sz w:val="20"/>
        </w:rPr>
      </w:pPr>
      <w:r>
        <w:rPr/>
        <w:pict>
          <v:group style="position:absolute;margin-left:182.5pt;margin-top:-25.600147pt;width:1pt;height:189.75pt;mso-position-horizontal-relative:page;mso-position-vertical-relative:paragraph;z-index:15739392" id="docshapegroup19" coordorigin="3650,-512" coordsize="20,3795">
            <v:shape style="position:absolute;left:3660;top:-512;width:2;height:3795" id="docshape20" coordorigin="3660,-512" coordsize="0,3795" path="m3660,-512l3660,3283e" filled="true" fillcolor="#000000" stroked="false">
              <v:path arrowok="t"/>
              <v:fill opacity="0f" type="solid"/>
            </v:shape>
            <v:line style="position:absolute" from="3660,-512" to="3660,3283" stroked="true" strokeweight="1pt" strokecolor="#000000">
              <v:stroke dashstyle="dash"/>
            </v:line>
            <w10:wrap type="none"/>
          </v:group>
        </w:pict>
      </w:r>
      <w:r>
        <w:rPr>
          <w:sz w:val="20"/>
        </w:rPr>
        <w:t>Board Organization,</w:t>
      </w:r>
      <w:r>
        <w:rPr>
          <w:spacing w:val="-54"/>
          <w:sz w:val="20"/>
        </w:rPr>
        <w:t> </w:t>
      </w:r>
      <w:r>
        <w:rPr>
          <w:sz w:val="20"/>
        </w:rPr>
        <w:t>Membership &amp;</w:t>
      </w:r>
      <w:r>
        <w:rPr>
          <w:spacing w:val="1"/>
          <w:sz w:val="20"/>
        </w:rPr>
        <w:t> </w:t>
      </w:r>
      <w:r>
        <w:rPr>
          <w:sz w:val="20"/>
        </w:rPr>
        <w:t>Structure</w:t>
      </w:r>
    </w:p>
    <w:p>
      <w:pPr>
        <w:pStyle w:val="ListParagraph"/>
        <w:numPr>
          <w:ilvl w:val="0"/>
          <w:numId w:val="8"/>
        </w:numPr>
        <w:tabs>
          <w:tab w:pos="619" w:val="left" w:leader="none"/>
          <w:tab w:pos="620" w:val="left" w:leader="none"/>
        </w:tabs>
        <w:spacing w:line="249" w:lineRule="auto" w:before="63" w:after="0"/>
        <w:ind w:left="619" w:right="774" w:hanging="360"/>
        <w:jc w:val="left"/>
        <w:rPr>
          <w:sz w:val="20"/>
        </w:rPr>
      </w:pPr>
      <w:r>
        <w:rPr>
          <w:sz w:val="20"/>
        </w:rPr>
        <w:t>Succession</w:t>
      </w:r>
      <w:r>
        <w:rPr>
          <w:spacing w:val="-53"/>
          <w:sz w:val="20"/>
        </w:rPr>
        <w:t> </w:t>
      </w:r>
      <w:r>
        <w:rPr>
          <w:sz w:val="20"/>
        </w:rPr>
        <w:t>Planning</w:t>
      </w:r>
    </w:p>
    <w:p>
      <w:pPr>
        <w:pStyle w:val="ListParagraph"/>
        <w:numPr>
          <w:ilvl w:val="0"/>
          <w:numId w:val="8"/>
        </w:numPr>
        <w:tabs>
          <w:tab w:pos="619" w:val="left" w:leader="none"/>
          <w:tab w:pos="620" w:val="left" w:leader="none"/>
        </w:tabs>
        <w:spacing w:line="249" w:lineRule="auto" w:before="61" w:after="0"/>
        <w:ind w:left="619" w:right="708" w:hanging="360"/>
        <w:jc w:val="left"/>
        <w:rPr>
          <w:sz w:val="20"/>
        </w:rPr>
      </w:pPr>
      <w:r>
        <w:rPr>
          <w:sz w:val="20"/>
        </w:rPr>
        <w:t>Corporate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Governance</w:t>
      </w:r>
    </w:p>
    <w:p>
      <w:pPr>
        <w:pStyle w:val="ListParagraph"/>
        <w:numPr>
          <w:ilvl w:val="0"/>
          <w:numId w:val="8"/>
        </w:numPr>
        <w:tabs>
          <w:tab w:pos="619" w:val="left" w:leader="none"/>
          <w:tab w:pos="620" w:val="left" w:leader="none"/>
        </w:tabs>
        <w:spacing w:line="240" w:lineRule="auto" w:before="62" w:after="0"/>
        <w:ind w:left="619" w:right="0" w:hanging="361"/>
        <w:jc w:val="left"/>
        <w:rPr>
          <w:sz w:val="20"/>
        </w:rPr>
      </w:pPr>
      <w:r>
        <w:rPr>
          <w:sz w:val="20"/>
        </w:rPr>
        <w:t>ESG</w:t>
      </w:r>
    </w:p>
    <w:p>
      <w:pPr>
        <w:pStyle w:val="ListParagraph"/>
        <w:numPr>
          <w:ilvl w:val="0"/>
          <w:numId w:val="8"/>
        </w:numPr>
        <w:tabs>
          <w:tab w:pos="620" w:val="left" w:leader="none"/>
          <w:tab w:pos="621" w:val="left" w:leader="none"/>
        </w:tabs>
        <w:spacing w:line="249" w:lineRule="auto" w:before="119" w:after="0"/>
        <w:ind w:left="620" w:right="60" w:hanging="360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Property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Acquisitions</w:t>
      </w:r>
    </w:p>
    <w:p>
      <w:pPr>
        <w:pStyle w:val="ListParagraph"/>
        <w:numPr>
          <w:ilvl w:val="0"/>
          <w:numId w:val="8"/>
        </w:numPr>
        <w:tabs>
          <w:tab w:pos="620" w:val="left" w:leader="none"/>
          <w:tab w:pos="621" w:val="left" w:leader="none"/>
        </w:tabs>
        <w:spacing w:line="249" w:lineRule="auto" w:before="61" w:after="0"/>
        <w:ind w:left="620" w:right="49" w:hanging="360"/>
        <w:jc w:val="left"/>
        <w:rPr>
          <w:sz w:val="20"/>
        </w:rPr>
      </w:pPr>
      <w:r>
        <w:rPr/>
        <w:pict>
          <v:group style="position:absolute;margin-left:305.5pt;margin-top:-25.600147pt;width:1pt;height:189.75pt;mso-position-horizontal-relative:page;mso-position-vertical-relative:paragraph;z-index:15739904" id="docshapegroup21" coordorigin="6110,-512" coordsize="20,3795">
            <v:shape style="position:absolute;left:6120;top:-512;width:2;height:3795" id="docshape22" coordorigin="6120,-512" coordsize="0,3795" path="m6120,-512l6120,3283e" filled="true" fillcolor="#000000" stroked="false">
              <v:path arrowok="t"/>
              <v:fill opacity="0f" type="solid"/>
            </v:shape>
            <v:line style="position:absolute" from="6120,-512" to="6120,3283" stroked="true" strokeweight="1pt" strokecolor="#000000">
              <v:stroke dashstyle="dash"/>
            </v:line>
            <w10:wrap type="none"/>
          </v:group>
        </w:pict>
      </w:r>
      <w:r>
        <w:rPr>
          <w:sz w:val="20"/>
        </w:rPr>
        <w:t>Property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Dispositions</w:t>
      </w:r>
    </w:p>
    <w:p>
      <w:pPr>
        <w:pStyle w:val="ListParagraph"/>
        <w:numPr>
          <w:ilvl w:val="0"/>
          <w:numId w:val="8"/>
        </w:numPr>
        <w:tabs>
          <w:tab w:pos="620" w:val="left" w:leader="none"/>
          <w:tab w:pos="621" w:val="left" w:leader="none"/>
        </w:tabs>
        <w:spacing w:line="249" w:lineRule="auto" w:before="62" w:after="0"/>
        <w:ind w:left="620" w:right="38" w:hanging="360"/>
        <w:jc w:val="left"/>
        <w:rPr>
          <w:sz w:val="20"/>
        </w:rPr>
      </w:pPr>
      <w:r>
        <w:rPr>
          <w:sz w:val="20"/>
        </w:rPr>
        <w:t>Financing of</w:t>
      </w:r>
      <w:r>
        <w:rPr>
          <w:spacing w:val="-54"/>
          <w:sz w:val="20"/>
        </w:rPr>
        <w:t> </w:t>
      </w:r>
      <w:r>
        <w:rPr>
          <w:sz w:val="20"/>
        </w:rPr>
        <w:t>Investments</w:t>
      </w:r>
    </w:p>
    <w:p>
      <w:pPr>
        <w:pStyle w:val="ListParagraph"/>
        <w:numPr>
          <w:ilvl w:val="1"/>
          <w:numId w:val="8"/>
        </w:numPr>
        <w:tabs>
          <w:tab w:pos="1052" w:val="left" w:leader="none"/>
          <w:tab w:pos="1053" w:val="left" w:leader="none"/>
        </w:tabs>
        <w:spacing w:line="240" w:lineRule="auto" w:before="119" w:after="0"/>
        <w:ind w:left="1052" w:right="0" w:hanging="361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Company</w:t>
      </w:r>
      <w:r>
        <w:rPr>
          <w:spacing w:val="-6"/>
          <w:sz w:val="20"/>
        </w:rPr>
        <w:t> </w:t>
      </w:r>
      <w:r>
        <w:rPr>
          <w:sz w:val="20"/>
        </w:rPr>
        <w:t>Strategy</w:t>
      </w:r>
    </w:p>
    <w:p>
      <w:pPr>
        <w:pStyle w:val="ListParagraph"/>
        <w:numPr>
          <w:ilvl w:val="1"/>
          <w:numId w:val="8"/>
        </w:numPr>
        <w:tabs>
          <w:tab w:pos="1052" w:val="left" w:leader="none"/>
          <w:tab w:pos="1053" w:val="left" w:leader="none"/>
        </w:tabs>
        <w:spacing w:line="240" w:lineRule="auto" w:before="70" w:after="0"/>
        <w:ind w:left="1052" w:right="0" w:hanging="361"/>
        <w:jc w:val="left"/>
        <w:rPr>
          <w:sz w:val="20"/>
        </w:rPr>
      </w:pPr>
      <w:r>
        <w:rPr/>
        <w:pict>
          <v:group style="position:absolute;margin-left:428.5pt;margin-top:-13.150146pt;width:1pt;height:189.75pt;mso-position-horizontal-relative:page;mso-position-vertical-relative:paragraph;z-index:15740416" id="docshapegroup23" coordorigin="8570,-263" coordsize="20,3795">
            <v:shape style="position:absolute;left:8580;top:-263;width:2;height:3795" id="docshape24" coordorigin="8580,-263" coordsize="0,3795" path="m8580,-263l8580,3532e" filled="true" fillcolor="#000000" stroked="false">
              <v:path arrowok="t"/>
              <v:fill opacity="0f" type="solid"/>
            </v:shape>
            <v:line style="position:absolute" from="8580,-263" to="8580,3532" stroked="true" strokeweight="1pt" strokecolor="#000000">
              <v:stroke dashstyle="dash"/>
            </v:line>
            <w10:wrap type="none"/>
          </v:group>
        </w:pict>
      </w:r>
      <w:r>
        <w:rPr>
          <w:sz w:val="20"/>
        </w:rPr>
        <w:t>Strategic</w:t>
      </w:r>
      <w:r>
        <w:rPr>
          <w:spacing w:val="-9"/>
          <w:sz w:val="20"/>
        </w:rPr>
        <w:t> </w:t>
      </w:r>
      <w:r>
        <w:rPr>
          <w:sz w:val="20"/>
        </w:rPr>
        <w:t>Initiatives</w:t>
      </w:r>
    </w:p>
    <w:p>
      <w:pPr>
        <w:pStyle w:val="ListParagraph"/>
        <w:numPr>
          <w:ilvl w:val="1"/>
          <w:numId w:val="8"/>
        </w:numPr>
        <w:tabs>
          <w:tab w:pos="1052" w:val="left" w:leader="none"/>
          <w:tab w:pos="1053" w:val="left" w:leader="none"/>
        </w:tabs>
        <w:spacing w:line="249" w:lineRule="auto" w:before="70" w:after="0"/>
        <w:ind w:left="1052" w:right="909" w:hanging="360"/>
        <w:jc w:val="left"/>
        <w:rPr>
          <w:sz w:val="20"/>
        </w:rPr>
      </w:pPr>
      <w:r>
        <w:rPr>
          <w:sz w:val="20"/>
        </w:rPr>
        <w:t>Capital Planning</w:t>
      </w:r>
      <w:r>
        <w:rPr>
          <w:spacing w:val="-5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Investment</w:t>
      </w:r>
    </w:p>
    <w:p>
      <w:pPr>
        <w:pStyle w:val="ListParagraph"/>
        <w:numPr>
          <w:ilvl w:val="1"/>
          <w:numId w:val="8"/>
        </w:numPr>
        <w:tabs>
          <w:tab w:pos="1052" w:val="left" w:leader="none"/>
          <w:tab w:pos="1053" w:val="left" w:leader="none"/>
        </w:tabs>
        <w:spacing w:line="240" w:lineRule="auto" w:before="61" w:after="0"/>
        <w:ind w:left="1052" w:right="0" w:hanging="361"/>
        <w:jc w:val="left"/>
        <w:rPr>
          <w:sz w:val="20"/>
        </w:rPr>
      </w:pPr>
      <w:r>
        <w:rPr>
          <w:sz w:val="20"/>
        </w:rPr>
        <w:t>ESG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18" w:top="860" w:bottom="280" w:left="740" w:right="700"/>
          <w:cols w:num="4" w:equalWidth="0">
            <w:col w:w="2854" w:space="40"/>
            <w:col w:w="2419" w:space="39"/>
            <w:col w:w="1750" w:space="278"/>
            <w:col w:w="3420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before="93"/>
      </w:pPr>
      <w:bookmarkStart w:name="Cyber Security" w:id="25"/>
      <w:bookmarkEnd w:id="25"/>
      <w:r>
        <w:rPr>
          <w:b w:val="0"/>
        </w:rPr>
      </w:r>
      <w:bookmarkStart w:name="_bookmark9" w:id="26"/>
      <w:bookmarkEnd w:id="26"/>
      <w:r>
        <w:rPr>
          <w:b w:val="0"/>
        </w:rPr>
      </w:r>
      <w:r>
        <w:rPr>
          <w:color w:val="00539E"/>
        </w:rPr>
        <w:t>Cyber</w:t>
      </w:r>
      <w:r>
        <w:rPr>
          <w:color w:val="00539E"/>
          <w:spacing w:val="-6"/>
        </w:rPr>
        <w:t> </w:t>
      </w:r>
      <w:r>
        <w:rPr>
          <w:color w:val="00539E"/>
        </w:rPr>
        <w:t>Security</w:t>
      </w:r>
    </w:p>
    <w:p>
      <w:pPr>
        <w:pStyle w:val="BodyText"/>
        <w:spacing w:line="249" w:lineRule="auto" w:before="220"/>
        <w:ind w:left="250" w:right="320"/>
      </w:pPr>
      <w:r>
        <w:rPr>
          <w:spacing w:val="-1"/>
        </w:rPr>
        <w:t>The Audit Committee is primarily responsible for oversight of the </w:t>
      </w:r>
      <w:r>
        <w:rPr/>
        <w:t>risk management process related to cyber security.</w:t>
      </w:r>
      <w:r>
        <w:rPr>
          <w:spacing w:val="-53"/>
        </w:rPr>
        <w:t> </w:t>
      </w:r>
      <w:r>
        <w:rPr>
          <w:spacing w:val="-1"/>
        </w:rPr>
        <w:t>Our </w:t>
      </w:r>
      <w:r>
        <w:rPr/>
        <w:t>Executive Officers and senior management meet with the Audit Committee at least quarterly to discuss the</w:t>
      </w:r>
      <w:r>
        <w:rPr>
          <w:spacing w:val="1"/>
        </w:rPr>
        <w:t> </w:t>
      </w:r>
      <w:r>
        <w:rPr/>
        <w:t>Company's cyber security defense strategy. Topics discussed during these meetings include defense of our</w:t>
      </w:r>
      <w:r>
        <w:rPr>
          <w:spacing w:val="1"/>
        </w:rPr>
        <w:t> </w:t>
      </w:r>
      <w:r>
        <w:rPr/>
        <w:t>business systems and</w:t>
      </w:r>
      <w:r>
        <w:rPr>
          <w:spacing w:val="1"/>
        </w:rPr>
        <w:t> </w:t>
      </w:r>
      <w:r>
        <w:rPr/>
        <w:t>information against cyber</w:t>
      </w:r>
      <w:r>
        <w:rPr>
          <w:spacing w:val="1"/>
        </w:rPr>
        <w:t> </w:t>
      </w:r>
      <w:r>
        <w:rPr/>
        <w:t>attacks and our</w:t>
      </w:r>
      <w:r>
        <w:rPr>
          <w:spacing w:val="1"/>
        </w:rPr>
        <w:t> </w:t>
      </w:r>
      <w:r>
        <w:rPr/>
        <w:t>efforts to comply</w:t>
      </w:r>
      <w:r>
        <w:rPr>
          <w:spacing w:val="1"/>
        </w:rPr>
        <w:t> </w:t>
      </w:r>
      <w:r>
        <w:rPr/>
        <w:t>with data privacy</w:t>
      </w:r>
      <w:r>
        <w:rPr>
          <w:spacing w:val="1"/>
        </w:rPr>
        <w:t> </w:t>
      </w:r>
      <w:r>
        <w:rPr/>
        <w:t>laws such as</w:t>
      </w:r>
      <w:r>
        <w:rPr>
          <w:spacing w:val="1"/>
        </w:rPr>
        <w:t> </w:t>
      </w:r>
      <w:r>
        <w:rPr>
          <w:spacing w:val="-1"/>
        </w:rPr>
        <w:t>the California Consumer </w:t>
      </w:r>
      <w:r>
        <w:rPr/>
        <w:t>Privacy Act. During these meetings, the Audit Committee is also informed of recent trends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cyber</w:t>
      </w:r>
      <w:r>
        <w:rPr>
          <w:spacing w:val="-3"/>
        </w:rPr>
        <w:t> </w:t>
      </w:r>
      <w:r>
        <w:rPr/>
        <w:t>risks.</w:t>
      </w:r>
      <w:r>
        <w:rPr>
          <w:spacing w:val="50"/>
        </w:rPr>
        <w:t> </w:t>
      </w:r>
      <w:r>
        <w:rPr/>
        <w:t>Certain</w:t>
      </w:r>
      <w:r>
        <w:rPr>
          <w:spacing w:val="-3"/>
        </w:rPr>
        <w:t> </w:t>
      </w:r>
      <w:r>
        <w:rPr/>
        <w:t>risks</w:t>
      </w:r>
      <w:r>
        <w:rPr>
          <w:spacing w:val="-3"/>
        </w:rPr>
        <w:t> </w:t>
      </w:r>
      <w:r>
        <w:rPr/>
        <w:t>relating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cyber</w:t>
      </w:r>
      <w:r>
        <w:rPr>
          <w:spacing w:val="-3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also</w:t>
      </w:r>
      <w:r>
        <w:rPr>
          <w:spacing w:val="-4"/>
        </w:rPr>
        <w:t> </w:t>
      </w:r>
      <w:r>
        <w:rPr/>
        <w:t>discussed</w:t>
      </w:r>
      <w:r>
        <w:rPr>
          <w:spacing w:val="-3"/>
        </w:rPr>
        <w:t> </w:t>
      </w:r>
      <w:r>
        <w:rPr/>
        <w:t>occasionally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Board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Directors.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9" w:lineRule="auto"/>
        <w:ind w:left="250" w:right="321"/>
      </w:pPr>
      <w:r>
        <w:rPr/>
        <w:t>The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addresses</w:t>
      </w:r>
      <w:r>
        <w:rPr>
          <w:spacing w:val="1"/>
        </w:rPr>
        <w:t> </w:t>
      </w:r>
      <w:r>
        <w:rPr/>
        <w:t>potential</w:t>
      </w:r>
      <w:r>
        <w:rPr>
          <w:spacing w:val="2"/>
        </w:rPr>
        <w:t> </w:t>
      </w:r>
      <w:r>
        <w:rPr/>
        <w:t>threats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disclosure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confidential</w:t>
      </w:r>
      <w:r>
        <w:rPr>
          <w:spacing w:val="2"/>
        </w:rPr>
        <w:t> </w:t>
      </w:r>
      <w:r>
        <w:rPr/>
        <w:t>personally</w:t>
      </w:r>
      <w:r>
        <w:rPr>
          <w:spacing w:val="1"/>
        </w:rPr>
        <w:t> </w:t>
      </w:r>
      <w:r>
        <w:rPr/>
        <w:t>identifiable</w:t>
      </w:r>
      <w:r>
        <w:rPr>
          <w:spacing w:val="1"/>
        </w:rPr>
        <w:t> </w:t>
      </w:r>
      <w:r>
        <w:rPr/>
        <w:t>information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holds by implementing a variety of security measures intended to protect the confidentiality and security of this</w:t>
      </w:r>
      <w:r>
        <w:rPr>
          <w:spacing w:val="1"/>
        </w:rPr>
        <w:t> </w:t>
      </w:r>
      <w:r>
        <w:rPr/>
        <w:t>information. These measures include, but are not limited to:</w:t>
      </w:r>
      <w:r>
        <w:rPr>
          <w:spacing w:val="1"/>
        </w:rPr>
        <w:t> </w:t>
      </w:r>
      <w:r>
        <w:rPr/>
        <w:t>(a) engaging reputable, recognized firms to help us</w:t>
      </w:r>
      <w:r>
        <w:rPr>
          <w:spacing w:val="1"/>
        </w:rPr>
        <w:t> </w:t>
      </w:r>
      <w:r>
        <w:rPr/>
        <w:t>design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maintain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technology</w:t>
      </w:r>
      <w:r>
        <w:rPr>
          <w:spacing w:val="-5"/>
        </w:rPr>
        <w:t> </w:t>
      </w:r>
      <w:r>
        <w:rPr/>
        <w:t>("IT")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systems;</w:t>
      </w:r>
      <w:r>
        <w:rPr>
          <w:spacing w:val="-5"/>
        </w:rPr>
        <w:t> </w:t>
      </w:r>
      <w:r>
        <w:rPr/>
        <w:t>(b)</w:t>
      </w:r>
      <w:r>
        <w:rPr>
          <w:spacing w:val="-5"/>
        </w:rPr>
        <w:t> </w:t>
      </w:r>
      <w:r>
        <w:rPr/>
        <w:t>conducting</w:t>
      </w:r>
      <w:r>
        <w:rPr>
          <w:spacing w:val="-5"/>
        </w:rPr>
        <w:t> </w:t>
      </w:r>
      <w:r>
        <w:rPr/>
        <w:t>periodic</w:t>
      </w:r>
      <w:r>
        <w:rPr>
          <w:spacing w:val="-5"/>
        </w:rPr>
        <w:t> </w:t>
      </w:r>
      <w:r>
        <w:rPr/>
        <w:t>testing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verification of information and data security systems, including performing penetration testing of our systems to</w:t>
      </w:r>
      <w:r>
        <w:rPr>
          <w:spacing w:val="1"/>
        </w:rPr>
        <w:t> </w:t>
      </w:r>
      <w:r>
        <w:rPr/>
        <w:t>discover where any vulnerabilities may exist; (c) providing periodic employee awareness training around phishing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scams,</w:t>
      </w:r>
      <w:r>
        <w:rPr>
          <w:spacing w:val="-4"/>
        </w:rPr>
        <w:t> </w:t>
      </w:r>
      <w:r>
        <w:rPr/>
        <w:t>malware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cyber</w:t>
      </w:r>
      <w:r>
        <w:rPr>
          <w:spacing w:val="-4"/>
        </w:rPr>
        <w:t> </w:t>
      </w:r>
      <w:r>
        <w:rPr/>
        <w:t>risks;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(d)</w:t>
      </w:r>
      <w:r>
        <w:rPr>
          <w:spacing w:val="-5"/>
        </w:rPr>
        <w:t> </w:t>
      </w:r>
      <w:r>
        <w:rPr/>
        <w:t>timely</w:t>
      </w:r>
      <w:r>
        <w:rPr>
          <w:spacing w:val="-4"/>
        </w:rPr>
        <w:t> </w:t>
      </w:r>
      <w:r>
        <w:rPr/>
        <w:t>deletion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personally</w:t>
      </w:r>
      <w:r>
        <w:rPr>
          <w:spacing w:val="-5"/>
        </w:rPr>
        <w:t> </w:t>
      </w:r>
      <w:r>
        <w:rPr/>
        <w:t>identifiable</w:t>
      </w:r>
      <w:r>
        <w:rPr>
          <w:spacing w:val="-4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longer has a business purpose to be retained. Employees are required to complete the full IT security training</w:t>
      </w:r>
      <w:r>
        <w:rPr>
          <w:spacing w:val="1"/>
        </w:rPr>
        <w:t> </w:t>
      </w:r>
      <w:r>
        <w:rPr/>
        <w:t>curriculum on an annual basis.</w:t>
      </w:r>
      <w:r>
        <w:rPr>
          <w:spacing w:val="55"/>
        </w:rPr>
        <w:t> </w:t>
      </w:r>
      <w:r>
        <w:rPr/>
        <w:t>In addition, the Company conducts monthly phishing tests on all employees, and</w:t>
      </w:r>
      <w:r>
        <w:rPr>
          <w:spacing w:val="1"/>
        </w:rPr>
        <w:t> </w:t>
      </w:r>
      <w:r>
        <w:rPr/>
        <w:t>any</w:t>
      </w:r>
      <w:r>
        <w:rPr>
          <w:spacing w:val="-2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fails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enrolled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phishing</w:t>
      </w:r>
      <w:r>
        <w:rPr>
          <w:spacing w:val="-1"/>
        </w:rPr>
        <w:t> </w:t>
      </w:r>
      <w:r>
        <w:rPr/>
        <w:t>refresher</w:t>
      </w:r>
      <w:r>
        <w:rPr>
          <w:spacing w:val="-1"/>
        </w:rPr>
        <w:t> </w:t>
      </w:r>
      <w:r>
        <w:rPr/>
        <w:t>course.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49" w:lineRule="auto"/>
        <w:ind w:left="250" w:right="349"/>
      </w:pPr>
      <w:r>
        <w:rPr/>
        <w:t>The</w:t>
      </w:r>
      <w:r>
        <w:rPr>
          <w:spacing w:val="-5"/>
        </w:rPr>
        <w:t> </w:t>
      </w:r>
      <w:r>
        <w:rPr/>
        <w:t>Company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cyber</w:t>
      </w:r>
      <w:r>
        <w:rPr>
          <w:spacing w:val="-5"/>
        </w:rPr>
        <w:t> </w:t>
      </w:r>
      <w:r>
        <w:rPr/>
        <w:t>liability</w:t>
      </w:r>
      <w:r>
        <w:rPr>
          <w:spacing w:val="-4"/>
        </w:rPr>
        <w:t> </w:t>
      </w:r>
      <w:r>
        <w:rPr/>
        <w:t>insurance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coverage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certain</w:t>
      </w:r>
      <w:r>
        <w:rPr>
          <w:spacing w:val="-5"/>
        </w:rPr>
        <w:t> </w:t>
      </w:r>
      <w:r>
        <w:rPr/>
        <w:t>risks</w:t>
      </w:r>
      <w:r>
        <w:rPr>
          <w:spacing w:val="-4"/>
        </w:rPr>
        <w:t> </w:t>
      </w:r>
      <w:r>
        <w:rPr/>
        <w:t>arising</w:t>
      </w:r>
      <w:r>
        <w:rPr>
          <w:spacing w:val="-4"/>
        </w:rPr>
        <w:t> </w:t>
      </w:r>
      <w:r>
        <w:rPr/>
        <w:t>out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data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network</w:t>
      </w:r>
      <w:r>
        <w:rPr>
          <w:spacing w:val="1"/>
        </w:rPr>
        <w:t> </w:t>
      </w:r>
      <w:r>
        <w:rPr/>
        <w:t>breaches and data privacy regulations and has an aggregate limit and a per occurrence retention. Cyber liability</w:t>
      </w:r>
      <w:r>
        <w:rPr>
          <w:spacing w:val="1"/>
        </w:rPr>
        <w:t> </w:t>
      </w:r>
      <w:r>
        <w:rPr/>
        <w:t>insurance generally covers costs associated with the wrongful release, through inadvertent breach or network</w:t>
      </w:r>
      <w:r>
        <w:rPr>
          <w:spacing w:val="1"/>
        </w:rPr>
        <w:t> </w:t>
      </w:r>
      <w:r>
        <w:rPr/>
        <w:t>attack, of personally identifiable information and credit card primary account number information.</w:t>
      </w:r>
      <w:r>
        <w:rPr>
          <w:spacing w:val="55"/>
        </w:rPr>
        <w:t> </w:t>
      </w:r>
      <w:r>
        <w:rPr/>
        <w:t>Our insurance</w:t>
      </w:r>
      <w:r>
        <w:rPr>
          <w:spacing w:val="1"/>
        </w:rPr>
        <w:t> </w:t>
      </w:r>
      <w:r>
        <w:rPr/>
        <w:t>also contains cyber extortion and business interruption coverage. In addition, the Company maintains a disaster</w:t>
      </w:r>
      <w:r>
        <w:rPr>
          <w:spacing w:val="1"/>
        </w:rPr>
        <w:t> </w:t>
      </w:r>
      <w:r>
        <w:rPr/>
        <w:t>recovery</w:t>
      </w:r>
      <w:r>
        <w:rPr>
          <w:spacing w:val="-3"/>
        </w:rPr>
        <w:t> </w:t>
      </w:r>
      <w:r>
        <w:rPr/>
        <w:t>plan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IT</w:t>
      </w:r>
      <w:r>
        <w:rPr>
          <w:spacing w:val="-5"/>
        </w:rPr>
        <w:t> </w:t>
      </w:r>
      <w:r>
        <w:rPr/>
        <w:t>systems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makes</w:t>
      </w:r>
      <w:r>
        <w:rPr>
          <w:spacing w:val="-2"/>
        </w:rPr>
        <w:t> </w:t>
      </w:r>
      <w:r>
        <w:rPr/>
        <w:t>regular</w:t>
      </w:r>
      <w:r>
        <w:rPr>
          <w:spacing w:val="-3"/>
        </w:rPr>
        <w:t> </w:t>
      </w:r>
      <w:r>
        <w:rPr/>
        <w:t>updates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incident</w:t>
      </w:r>
      <w:r>
        <w:rPr>
          <w:spacing w:val="-2"/>
        </w:rPr>
        <w:t> </w:t>
      </w:r>
      <w:r>
        <w:rPr/>
        <w:t>plan.</w:t>
      </w:r>
    </w:p>
    <w:p>
      <w:pPr>
        <w:pStyle w:val="Heading2"/>
        <w:spacing w:before="196"/>
      </w:pPr>
      <w:bookmarkStart w:name="Securities Hedging Policy" w:id="27"/>
      <w:bookmarkEnd w:id="27"/>
      <w:r>
        <w:rPr>
          <w:b w:val="0"/>
        </w:rPr>
      </w:r>
      <w:bookmarkStart w:name="_bookmark10" w:id="28"/>
      <w:bookmarkEnd w:id="28"/>
      <w:r>
        <w:rPr>
          <w:b w:val="0"/>
        </w:rPr>
      </w:r>
      <w:r>
        <w:rPr>
          <w:color w:val="00539E"/>
        </w:rPr>
        <w:t>Securities</w:t>
      </w:r>
      <w:r>
        <w:rPr>
          <w:color w:val="00539E"/>
          <w:spacing w:val="-4"/>
        </w:rPr>
        <w:t> </w:t>
      </w:r>
      <w:r>
        <w:rPr>
          <w:color w:val="00539E"/>
        </w:rPr>
        <w:t>Hedging</w:t>
      </w:r>
      <w:r>
        <w:rPr>
          <w:color w:val="00539E"/>
          <w:spacing w:val="-3"/>
        </w:rPr>
        <w:t> </w:t>
      </w:r>
      <w:r>
        <w:rPr>
          <w:color w:val="00539E"/>
        </w:rPr>
        <w:t>Policy</w:t>
      </w:r>
    </w:p>
    <w:p>
      <w:pPr>
        <w:pStyle w:val="BodyText"/>
        <w:spacing w:line="249" w:lineRule="auto" w:before="221"/>
        <w:ind w:left="250" w:right="282"/>
      </w:pPr>
      <w:r>
        <w:rPr/>
        <w:t>The Company's hedging policy is included in the Company's Policy on Securities Trading and reads as follows:</w:t>
      </w:r>
      <w:r>
        <w:rPr>
          <w:spacing w:val="1"/>
        </w:rPr>
        <w:t> </w:t>
      </w:r>
      <w:r>
        <w:rPr/>
        <w:t>"Directors and officers (and any member of the director's or officer's family sharing the same household) are</w:t>
      </w:r>
      <w:r>
        <w:rPr>
          <w:spacing w:val="1"/>
        </w:rPr>
        <w:t> </w:t>
      </w:r>
      <w:r>
        <w:rPr/>
        <w:t>prohibited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engaging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short</w:t>
      </w:r>
      <w:r>
        <w:rPr>
          <w:spacing w:val="-4"/>
        </w:rPr>
        <w:t> </w:t>
      </w:r>
      <w:r>
        <w:rPr/>
        <w:t>sales</w:t>
      </w:r>
      <w:r>
        <w:rPr>
          <w:spacing w:val="-5"/>
        </w:rPr>
        <w:t> </w:t>
      </w:r>
      <w:r>
        <w:rPr/>
        <w:t>(including</w:t>
      </w:r>
      <w:r>
        <w:rPr>
          <w:spacing w:val="-5"/>
        </w:rPr>
        <w:t> </w:t>
      </w:r>
      <w:r>
        <w:rPr/>
        <w:t>buying</w:t>
      </w:r>
      <w:r>
        <w:rPr>
          <w:spacing w:val="-5"/>
        </w:rPr>
        <w:t> </w:t>
      </w:r>
      <w:r>
        <w:rPr/>
        <w:t>puts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selling</w:t>
      </w:r>
      <w:r>
        <w:rPr>
          <w:spacing w:val="-5"/>
        </w:rPr>
        <w:t> </w:t>
      </w:r>
      <w:r>
        <w:rPr/>
        <w:t>calls)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other</w:t>
      </w:r>
      <w:r>
        <w:rPr>
          <w:spacing w:val="-5"/>
        </w:rPr>
        <w:t> </w:t>
      </w:r>
      <w:r>
        <w:rPr/>
        <w:t>hedging</w:t>
      </w:r>
      <w:r>
        <w:rPr>
          <w:spacing w:val="-5"/>
        </w:rPr>
        <w:t> </w:t>
      </w:r>
      <w:r>
        <w:rPr/>
        <w:t>transactions</w:t>
      </w:r>
      <w:r>
        <w:rPr>
          <w:spacing w:val="-5"/>
        </w:rPr>
        <w:t> </w:t>
      </w:r>
      <w:r>
        <w:rPr/>
        <w:t>with</w:t>
      </w:r>
    </w:p>
    <w:p>
      <w:pPr>
        <w:spacing w:after="0" w:line="249" w:lineRule="auto"/>
        <w:sectPr>
          <w:type w:val="continuous"/>
          <w:pgSz w:w="12240" w:h="15840"/>
          <w:pgMar w:header="0" w:footer="518" w:top="860" w:bottom="280" w:left="740" w:right="700"/>
        </w:sectPr>
      </w:pPr>
    </w:p>
    <w:p>
      <w:pPr>
        <w:pStyle w:val="BodyText"/>
        <w:spacing w:line="249" w:lineRule="auto" w:before="73"/>
        <w:ind w:left="250" w:right="282"/>
      </w:pPr>
      <w:r>
        <w:rPr/>
        <w:t>respect to any equity securities of the Company held by them, which includes the purchase of any financial</w:t>
      </w:r>
      <w:r>
        <w:rPr>
          <w:spacing w:val="1"/>
        </w:rPr>
        <w:t> </w:t>
      </w:r>
      <w:r>
        <w:rPr/>
        <w:t>instrument</w:t>
      </w:r>
      <w:r>
        <w:rPr>
          <w:spacing w:val="-6"/>
        </w:rPr>
        <w:t> </w:t>
      </w:r>
      <w:r>
        <w:rPr/>
        <w:t>(including,</w:t>
      </w:r>
      <w:r>
        <w:rPr>
          <w:spacing w:val="-5"/>
        </w:rPr>
        <w:t> </w:t>
      </w:r>
      <w:r>
        <w:rPr/>
        <w:t>but</w:t>
      </w:r>
      <w:r>
        <w:rPr>
          <w:spacing w:val="-5"/>
        </w:rPr>
        <w:t> </w:t>
      </w:r>
      <w:r>
        <w:rPr/>
        <w:t>not</w:t>
      </w:r>
      <w:r>
        <w:rPr>
          <w:spacing w:val="-5"/>
        </w:rPr>
        <w:t> </w:t>
      </w:r>
      <w:r>
        <w:rPr/>
        <w:t>limited</w:t>
      </w:r>
      <w:r>
        <w:rPr>
          <w:spacing w:val="-5"/>
        </w:rPr>
        <w:t> </w:t>
      </w:r>
      <w:r>
        <w:rPr/>
        <w:t>to,</w:t>
      </w:r>
      <w:r>
        <w:rPr>
          <w:spacing w:val="-5"/>
        </w:rPr>
        <w:t> </w:t>
      </w:r>
      <w:r>
        <w:rPr/>
        <w:t>prepaid</w:t>
      </w:r>
      <w:r>
        <w:rPr>
          <w:spacing w:val="-5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forward</w:t>
      </w:r>
      <w:r>
        <w:rPr>
          <w:spacing w:val="-5"/>
        </w:rPr>
        <w:t> </w:t>
      </w:r>
      <w:r>
        <w:rPr/>
        <w:t>contracts,</w:t>
      </w:r>
      <w:r>
        <w:rPr>
          <w:spacing w:val="-6"/>
        </w:rPr>
        <w:t> </w:t>
      </w:r>
      <w:r>
        <w:rPr/>
        <w:t>equity</w:t>
      </w:r>
      <w:r>
        <w:rPr>
          <w:spacing w:val="-5"/>
        </w:rPr>
        <w:t> </w:t>
      </w:r>
      <w:r>
        <w:rPr/>
        <w:t>swaps,</w:t>
      </w:r>
      <w:r>
        <w:rPr>
          <w:spacing w:val="-5"/>
        </w:rPr>
        <w:t> </w:t>
      </w:r>
      <w:r>
        <w:rPr/>
        <w:t>collars,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exchange</w:t>
      </w:r>
      <w:r>
        <w:rPr>
          <w:spacing w:val="1"/>
        </w:rPr>
        <w:t> </w:t>
      </w:r>
      <w:r>
        <w:rPr/>
        <w:t>funds)</w:t>
      </w:r>
      <w:r>
        <w:rPr>
          <w:spacing w:val="-3"/>
        </w:rPr>
        <w:t> </w:t>
      </w:r>
      <w:r>
        <w:rPr/>
        <w:t>designed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hedge</w:t>
      </w:r>
      <w:r>
        <w:rPr>
          <w:spacing w:val="-2"/>
        </w:rPr>
        <w:t> </w:t>
      </w:r>
      <w:r>
        <w:rPr/>
        <w:t>or</w:t>
      </w:r>
      <w:r>
        <w:rPr>
          <w:spacing w:val="-2"/>
        </w:rPr>
        <w:t> </w:t>
      </w:r>
      <w:r>
        <w:rPr/>
        <w:t>offset</w:t>
      </w:r>
      <w:r>
        <w:rPr>
          <w:spacing w:val="-2"/>
        </w:rPr>
        <w:t> </w:t>
      </w:r>
      <w:r>
        <w:rPr/>
        <w:t>any</w:t>
      </w:r>
      <w:r>
        <w:rPr>
          <w:spacing w:val="-3"/>
        </w:rPr>
        <w:t> </w:t>
      </w:r>
      <w:r>
        <w:rPr/>
        <w:t>decrease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market</w:t>
      </w:r>
      <w:r>
        <w:rPr>
          <w:spacing w:val="-2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equity</w:t>
      </w:r>
      <w:r>
        <w:rPr>
          <w:spacing w:val="-2"/>
        </w:rPr>
        <w:t> </w:t>
      </w:r>
      <w:r>
        <w:rPr/>
        <w:t>securities."</w:t>
      </w:r>
    </w:p>
    <w:p>
      <w:pPr>
        <w:pStyle w:val="BodyText"/>
        <w:spacing w:before="2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772989</wp:posOffset>
            </wp:positionH>
            <wp:positionV relativeFrom="paragraph">
              <wp:posOffset>214157</wp:posOffset>
            </wp:positionV>
            <wp:extent cx="6265468" cy="673607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5468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9"/>
        </w:rPr>
      </w:pPr>
    </w:p>
    <w:p>
      <w:pPr>
        <w:pStyle w:val="Heading2"/>
      </w:pPr>
      <w:bookmarkStart w:name="Securities Pledging Policy" w:id="29"/>
      <w:bookmarkEnd w:id="29"/>
      <w:r>
        <w:rPr>
          <w:b w:val="0"/>
        </w:rPr>
      </w:r>
      <w:bookmarkStart w:name="_bookmark11" w:id="30"/>
      <w:bookmarkEnd w:id="30"/>
      <w:r>
        <w:rPr>
          <w:b w:val="0"/>
        </w:rPr>
      </w:r>
      <w:r>
        <w:rPr>
          <w:color w:val="00539E"/>
        </w:rPr>
        <w:t>Securities</w:t>
      </w:r>
      <w:r>
        <w:rPr>
          <w:color w:val="00539E"/>
          <w:spacing w:val="-3"/>
        </w:rPr>
        <w:t> </w:t>
      </w:r>
      <w:r>
        <w:rPr>
          <w:color w:val="00539E"/>
        </w:rPr>
        <w:t>Pledging</w:t>
      </w:r>
      <w:r>
        <w:rPr>
          <w:color w:val="00539E"/>
          <w:spacing w:val="-3"/>
        </w:rPr>
        <w:t> </w:t>
      </w:r>
      <w:r>
        <w:rPr>
          <w:color w:val="00539E"/>
        </w:rPr>
        <w:t>Policy</w:t>
      </w:r>
    </w:p>
    <w:p>
      <w:pPr>
        <w:pStyle w:val="BodyText"/>
        <w:spacing w:line="249" w:lineRule="auto" w:before="221"/>
        <w:ind w:left="250" w:right="321"/>
      </w:pPr>
      <w:r>
        <w:rPr/>
        <w:t>Our</w:t>
      </w:r>
      <w:r>
        <w:rPr>
          <w:spacing w:val="-5"/>
        </w:rPr>
        <w:t> </w:t>
      </w:r>
      <w:r>
        <w:rPr/>
        <w:t>Board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consistently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closely</w:t>
      </w:r>
      <w:r>
        <w:rPr>
          <w:spacing w:val="-5"/>
        </w:rPr>
        <w:t> </w:t>
      </w:r>
      <w:r>
        <w:rPr/>
        <w:t>monitored</w:t>
      </w:r>
      <w:r>
        <w:rPr>
          <w:spacing w:val="-5"/>
        </w:rPr>
        <w:t> </w:t>
      </w:r>
      <w:r>
        <w:rPr/>
        <w:t>pledging</w:t>
      </w:r>
      <w:r>
        <w:rPr>
          <w:spacing w:val="-5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examined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risks</w:t>
      </w:r>
      <w:r>
        <w:rPr>
          <w:spacing w:val="-5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 any such pledging by our Directors and Executive Officers. In March 2017, the Board adopted a Securities</w:t>
      </w:r>
      <w:r>
        <w:rPr>
          <w:spacing w:val="1"/>
        </w:rPr>
        <w:t> </w:t>
      </w:r>
      <w:r>
        <w:rPr/>
        <w:t>Pledging Policy with</w:t>
      </w:r>
      <w:r>
        <w:rPr>
          <w:spacing w:val="1"/>
        </w:rPr>
        <w:t> </w:t>
      </w:r>
      <w:r>
        <w:rPr/>
        <w:t>the elements</w:t>
      </w:r>
      <w:r>
        <w:rPr>
          <w:spacing w:val="1"/>
        </w:rPr>
        <w:t> </w:t>
      </w:r>
      <w:r>
        <w:rPr/>
        <w:t>set forth</w:t>
      </w:r>
      <w:r>
        <w:rPr>
          <w:spacing w:val="1"/>
        </w:rPr>
        <w:t> </w:t>
      </w:r>
      <w:r>
        <w:rPr/>
        <w:t>below, which</w:t>
      </w:r>
      <w:r>
        <w:rPr>
          <w:spacing w:val="1"/>
        </w:rPr>
        <w:t> </w:t>
      </w:r>
      <w:r>
        <w:rPr/>
        <w:t>in its</w:t>
      </w:r>
      <w:r>
        <w:rPr>
          <w:spacing w:val="1"/>
        </w:rPr>
        <w:t> </w:t>
      </w:r>
      <w:r>
        <w:rPr/>
        <w:t>business judgment</w:t>
      </w:r>
      <w:r>
        <w:rPr>
          <w:spacing w:val="1"/>
        </w:rPr>
        <w:t> </w:t>
      </w:r>
      <w:r>
        <w:rPr/>
        <w:t>provides appropriate</w:t>
      </w:r>
      <w:r>
        <w:rPr>
          <w:spacing w:val="1"/>
        </w:rPr>
        <w:t> </w:t>
      </w:r>
      <w:r>
        <w:rPr/>
        <w:t>protections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stockholder</w:t>
      </w:r>
      <w:r>
        <w:rPr>
          <w:spacing w:val="-1"/>
        </w:rPr>
        <w:t> </w:t>
      </w:r>
      <w:r>
        <w:rPr/>
        <w:t>interests.</w:t>
      </w:r>
    </w:p>
    <w:p>
      <w:pPr>
        <w:pStyle w:val="BodyText"/>
        <w:spacing w:before="8"/>
        <w:rPr>
          <w:sz w:val="17"/>
        </w:rPr>
      </w:pPr>
    </w:p>
    <w:p>
      <w:pPr>
        <w:pStyle w:val="ListParagraph"/>
        <w:numPr>
          <w:ilvl w:val="0"/>
          <w:numId w:val="9"/>
        </w:numPr>
        <w:tabs>
          <w:tab w:pos="970" w:val="left" w:leader="none"/>
        </w:tabs>
        <w:spacing w:line="259" w:lineRule="auto" w:before="0" w:after="0"/>
        <w:ind w:left="970" w:right="1147" w:hanging="360"/>
        <w:jc w:val="left"/>
        <w:rPr>
          <w:sz w:val="20"/>
        </w:rPr>
      </w:pPr>
      <w:r>
        <w:rPr>
          <w:sz w:val="20"/>
        </w:rPr>
        <w:t>Pledging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our</w:t>
      </w:r>
      <w:r>
        <w:rPr>
          <w:spacing w:val="-5"/>
          <w:sz w:val="20"/>
        </w:rPr>
        <w:t> </w:t>
      </w:r>
      <w:r>
        <w:rPr>
          <w:sz w:val="20"/>
        </w:rPr>
        <w:t>shares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Common</w:t>
      </w:r>
      <w:r>
        <w:rPr>
          <w:spacing w:val="-5"/>
          <w:sz w:val="20"/>
        </w:rPr>
        <w:t> </w:t>
      </w:r>
      <w:r>
        <w:rPr>
          <w:sz w:val="20"/>
        </w:rPr>
        <w:t>Stock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Operating</w:t>
      </w:r>
      <w:r>
        <w:rPr>
          <w:spacing w:val="-4"/>
          <w:sz w:val="20"/>
        </w:rPr>
        <w:t> </w:t>
      </w:r>
      <w:r>
        <w:rPr>
          <w:sz w:val="20"/>
        </w:rPr>
        <w:t>Partnership</w:t>
      </w:r>
      <w:r>
        <w:rPr>
          <w:spacing w:val="-4"/>
          <w:sz w:val="20"/>
        </w:rPr>
        <w:t> </w:t>
      </w:r>
      <w:r>
        <w:rPr>
          <w:sz w:val="20"/>
        </w:rPr>
        <w:t>("OP</w:t>
      </w:r>
      <w:r>
        <w:rPr>
          <w:spacing w:val="-8"/>
          <w:sz w:val="20"/>
        </w:rPr>
        <w:t> </w:t>
      </w:r>
      <w:r>
        <w:rPr>
          <w:sz w:val="20"/>
        </w:rPr>
        <w:t>Units")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Directors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1"/>
          <w:sz w:val="20"/>
        </w:rPr>
        <w:t> </w:t>
      </w:r>
      <w:r>
        <w:rPr>
          <w:sz w:val="20"/>
        </w:rPr>
        <w:t>Executive</w:t>
      </w:r>
      <w:r>
        <w:rPr>
          <w:spacing w:val="-3"/>
          <w:sz w:val="20"/>
        </w:rPr>
        <w:t> </w:t>
      </w:r>
      <w:r>
        <w:rPr>
          <w:sz w:val="20"/>
        </w:rPr>
        <w:t>Officers</w:t>
      </w:r>
      <w:r>
        <w:rPr>
          <w:spacing w:val="-2"/>
          <w:sz w:val="20"/>
        </w:rPr>
        <w:t> </w:t>
      </w:r>
      <w:r>
        <w:rPr>
          <w:sz w:val="20"/>
        </w:rPr>
        <w:t>is</w:t>
      </w:r>
      <w:r>
        <w:rPr>
          <w:spacing w:val="-3"/>
          <w:sz w:val="20"/>
        </w:rPr>
        <w:t> </w:t>
      </w:r>
      <w:r>
        <w:rPr>
          <w:sz w:val="20"/>
        </w:rPr>
        <w:t>not</w:t>
      </w:r>
      <w:r>
        <w:rPr>
          <w:spacing w:val="-2"/>
          <w:sz w:val="20"/>
        </w:rPr>
        <w:t> </w:t>
      </w:r>
      <w:r>
        <w:rPr>
          <w:sz w:val="20"/>
        </w:rPr>
        <w:t>permitted</w:t>
      </w:r>
      <w:r>
        <w:rPr>
          <w:spacing w:val="-3"/>
          <w:sz w:val="20"/>
        </w:rPr>
        <w:t> </w:t>
      </w:r>
      <w:r>
        <w:rPr>
          <w:sz w:val="20"/>
        </w:rPr>
        <w:t>without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prior</w:t>
      </w:r>
      <w:r>
        <w:rPr>
          <w:spacing w:val="-2"/>
          <w:sz w:val="20"/>
        </w:rPr>
        <w:t> </w:t>
      </w:r>
      <w:r>
        <w:rPr>
          <w:sz w:val="20"/>
        </w:rPr>
        <w:t>approval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3"/>
          <w:sz w:val="20"/>
        </w:rPr>
        <w:t> </w:t>
      </w:r>
      <w:r>
        <w:rPr>
          <w:sz w:val="20"/>
        </w:rPr>
        <w:t>Audit</w:t>
      </w:r>
      <w:r>
        <w:rPr>
          <w:spacing w:val="-3"/>
          <w:sz w:val="20"/>
        </w:rPr>
        <w:t> </w:t>
      </w:r>
      <w:r>
        <w:rPr>
          <w:sz w:val="20"/>
        </w:rPr>
        <w:t>Committee.</w:t>
      </w:r>
    </w:p>
    <w:p>
      <w:pPr>
        <w:pStyle w:val="ListParagraph"/>
        <w:numPr>
          <w:ilvl w:val="0"/>
          <w:numId w:val="9"/>
        </w:numPr>
        <w:tabs>
          <w:tab w:pos="970" w:val="left" w:leader="none"/>
        </w:tabs>
        <w:spacing w:line="259" w:lineRule="auto" w:before="192" w:after="0"/>
        <w:ind w:left="970" w:right="340" w:hanging="360"/>
        <w:jc w:val="left"/>
        <w:rPr>
          <w:sz w:val="20"/>
        </w:rPr>
      </w:pP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shares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Common</w:t>
      </w:r>
      <w:r>
        <w:rPr>
          <w:spacing w:val="-4"/>
          <w:sz w:val="20"/>
        </w:rPr>
        <w:t> </w:t>
      </w:r>
      <w:r>
        <w:rPr>
          <w:sz w:val="20"/>
        </w:rPr>
        <w:t>Stock</w:t>
      </w:r>
      <w:r>
        <w:rPr>
          <w:spacing w:val="-4"/>
          <w:sz w:val="20"/>
        </w:rPr>
        <w:t> </w:t>
      </w:r>
      <w:r>
        <w:rPr>
          <w:sz w:val="20"/>
        </w:rPr>
        <w:t>held</w:t>
      </w:r>
      <w:r>
        <w:rPr>
          <w:spacing w:val="-3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brokerage</w:t>
      </w:r>
      <w:r>
        <w:rPr>
          <w:spacing w:val="-4"/>
          <w:sz w:val="20"/>
        </w:rPr>
        <w:t> </w:t>
      </w:r>
      <w:r>
        <w:rPr>
          <w:sz w:val="20"/>
        </w:rPr>
        <w:t>accounts,</w:t>
      </w:r>
      <w:r>
        <w:rPr>
          <w:spacing w:val="-4"/>
          <w:sz w:val="20"/>
        </w:rPr>
        <w:t> </w:t>
      </w:r>
      <w:r>
        <w:rPr>
          <w:sz w:val="20"/>
        </w:rPr>
        <w:t>margin</w:t>
      </w:r>
      <w:r>
        <w:rPr>
          <w:spacing w:val="-4"/>
          <w:sz w:val="20"/>
        </w:rPr>
        <w:t> </w:t>
      </w:r>
      <w:r>
        <w:rPr>
          <w:sz w:val="20"/>
        </w:rPr>
        <w:t>loans</w:t>
      </w:r>
      <w:r>
        <w:rPr>
          <w:spacing w:val="-3"/>
          <w:sz w:val="20"/>
        </w:rPr>
        <w:t> </w:t>
      </w:r>
      <w:r>
        <w:rPr>
          <w:sz w:val="20"/>
        </w:rPr>
        <w:t>using</w:t>
      </w:r>
      <w:r>
        <w:rPr>
          <w:spacing w:val="-4"/>
          <w:sz w:val="20"/>
        </w:rPr>
        <w:t> </w:t>
      </w:r>
      <w:r>
        <w:rPr>
          <w:sz w:val="20"/>
        </w:rPr>
        <w:t>our</w:t>
      </w:r>
      <w:r>
        <w:rPr>
          <w:spacing w:val="-4"/>
          <w:sz w:val="20"/>
        </w:rPr>
        <w:t> </w:t>
      </w:r>
      <w:r>
        <w:rPr>
          <w:sz w:val="20"/>
        </w:rPr>
        <w:t>shares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Common</w:t>
      </w:r>
      <w:r>
        <w:rPr>
          <w:spacing w:val="-3"/>
          <w:sz w:val="20"/>
        </w:rPr>
        <w:t> </w:t>
      </w:r>
      <w:r>
        <w:rPr>
          <w:sz w:val="20"/>
        </w:rPr>
        <w:t>Stock</w:t>
      </w:r>
      <w:r>
        <w:rPr>
          <w:spacing w:val="1"/>
          <w:sz w:val="20"/>
        </w:rPr>
        <w:t> </w:t>
      </w:r>
      <w:r>
        <w:rPr>
          <w:sz w:val="20"/>
        </w:rPr>
        <w:t>as</w:t>
      </w:r>
      <w:r>
        <w:rPr>
          <w:spacing w:val="-2"/>
          <w:sz w:val="20"/>
        </w:rPr>
        <w:t> </w:t>
      </w:r>
      <w:r>
        <w:rPr>
          <w:sz w:val="20"/>
        </w:rPr>
        <w:t>collateral</w:t>
      </w:r>
      <w:r>
        <w:rPr>
          <w:spacing w:val="-1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prohibited.</w:t>
      </w:r>
    </w:p>
    <w:p>
      <w:pPr>
        <w:pStyle w:val="ListParagraph"/>
        <w:numPr>
          <w:ilvl w:val="0"/>
          <w:numId w:val="9"/>
        </w:numPr>
        <w:tabs>
          <w:tab w:pos="970" w:val="left" w:leader="none"/>
        </w:tabs>
        <w:spacing w:line="259" w:lineRule="auto" w:before="193" w:after="0"/>
        <w:ind w:left="970" w:right="529" w:hanging="360"/>
        <w:jc w:val="left"/>
        <w:rPr>
          <w:sz w:val="20"/>
        </w:rPr>
      </w:pPr>
      <w:r>
        <w:rPr>
          <w:spacing w:val="-1"/>
          <w:sz w:val="20"/>
        </w:rPr>
        <w:t>When considering whether </w:t>
      </w:r>
      <w:r>
        <w:rPr>
          <w:sz w:val="20"/>
        </w:rPr>
        <w:t>to permit a proposed pledge, the Audit Committee shall consider factors that it</w:t>
      </w:r>
      <w:r>
        <w:rPr>
          <w:spacing w:val="-53"/>
          <w:sz w:val="20"/>
        </w:rPr>
        <w:t> </w:t>
      </w:r>
      <w:r>
        <w:rPr>
          <w:sz w:val="20"/>
        </w:rPr>
        <w:t>deems</w:t>
      </w:r>
      <w:r>
        <w:rPr>
          <w:spacing w:val="-2"/>
          <w:sz w:val="20"/>
        </w:rPr>
        <w:t> </w:t>
      </w:r>
      <w:r>
        <w:rPr>
          <w:sz w:val="20"/>
        </w:rPr>
        <w:t>relevant,</w:t>
      </w:r>
      <w:r>
        <w:rPr>
          <w:spacing w:val="-1"/>
          <w:sz w:val="20"/>
        </w:rPr>
        <w:t> </w:t>
      </w:r>
      <w:r>
        <w:rPr>
          <w:sz w:val="20"/>
        </w:rPr>
        <w:t>which</w:t>
      </w:r>
      <w:r>
        <w:rPr>
          <w:spacing w:val="-2"/>
          <w:sz w:val="20"/>
        </w:rPr>
        <w:t> </w:t>
      </w:r>
      <w:r>
        <w:rPr>
          <w:sz w:val="20"/>
        </w:rPr>
        <w:t>may</w:t>
      </w:r>
      <w:r>
        <w:rPr>
          <w:spacing w:val="-1"/>
          <w:sz w:val="20"/>
        </w:rPr>
        <w:t> </w:t>
      </w:r>
      <w:r>
        <w:rPr>
          <w:sz w:val="20"/>
        </w:rPr>
        <w:t>include,</w:t>
      </w:r>
      <w:r>
        <w:rPr>
          <w:spacing w:val="-1"/>
          <w:sz w:val="20"/>
        </w:rPr>
        <w:t> </w:t>
      </w:r>
      <w:r>
        <w:rPr>
          <w:sz w:val="20"/>
        </w:rPr>
        <w:t>but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not</w:t>
      </w:r>
      <w:r>
        <w:rPr>
          <w:spacing w:val="-1"/>
          <w:sz w:val="20"/>
        </w:rPr>
        <w:t> </w:t>
      </w:r>
      <w:r>
        <w:rPr>
          <w:sz w:val="20"/>
        </w:rPr>
        <w:t>limited</w:t>
      </w:r>
      <w:r>
        <w:rPr>
          <w:spacing w:val="-2"/>
          <w:sz w:val="20"/>
        </w:rPr>
        <w:t> </w:t>
      </w:r>
      <w:r>
        <w:rPr>
          <w:sz w:val="20"/>
        </w:rPr>
        <w:t>to:</w:t>
      </w:r>
    </w:p>
    <w:p>
      <w:pPr>
        <w:pStyle w:val="ListParagraph"/>
        <w:numPr>
          <w:ilvl w:val="1"/>
          <w:numId w:val="9"/>
        </w:numPr>
        <w:tabs>
          <w:tab w:pos="1689" w:val="left" w:leader="none"/>
          <w:tab w:pos="1690" w:val="left" w:leader="none"/>
        </w:tabs>
        <w:spacing w:line="249" w:lineRule="auto" w:before="191" w:after="0"/>
        <w:ind w:left="1690" w:right="346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number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shares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Common</w:t>
      </w:r>
      <w:r>
        <w:rPr>
          <w:spacing w:val="-3"/>
          <w:sz w:val="20"/>
        </w:rPr>
        <w:t> </w:t>
      </w:r>
      <w:r>
        <w:rPr>
          <w:sz w:val="20"/>
        </w:rPr>
        <w:t>Stock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OP</w:t>
      </w:r>
      <w:r>
        <w:rPr>
          <w:spacing w:val="-7"/>
          <w:sz w:val="20"/>
        </w:rPr>
        <w:t> </w:t>
      </w:r>
      <w:r>
        <w:rPr>
          <w:sz w:val="20"/>
        </w:rPr>
        <w:t>Units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pledged</w:t>
      </w:r>
      <w:r>
        <w:rPr>
          <w:spacing w:val="-3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aggregate</w:t>
      </w:r>
      <w:r>
        <w:rPr>
          <w:spacing w:val="-4"/>
          <w:sz w:val="20"/>
        </w:rPr>
        <w:t> </w:t>
      </w:r>
      <w:r>
        <w:rPr>
          <w:sz w:val="20"/>
        </w:rPr>
        <w:t>market</w:t>
      </w:r>
      <w:r>
        <w:rPr>
          <w:spacing w:val="-4"/>
          <w:sz w:val="20"/>
        </w:rPr>
        <w:t> </w:t>
      </w:r>
      <w:r>
        <w:rPr>
          <w:sz w:val="20"/>
        </w:rPr>
        <w:t>value</w:t>
      </w:r>
      <w:r>
        <w:rPr>
          <w:spacing w:val="1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position;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9"/>
        </w:numPr>
        <w:tabs>
          <w:tab w:pos="1689" w:val="left" w:leader="none"/>
          <w:tab w:pos="1690" w:val="left" w:leader="none"/>
        </w:tabs>
        <w:spacing w:line="249" w:lineRule="auto" w:before="0" w:after="0"/>
        <w:ind w:left="1690" w:right="378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percentage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Company’s</w:t>
      </w:r>
      <w:r>
        <w:rPr>
          <w:spacing w:val="-5"/>
          <w:sz w:val="20"/>
        </w:rPr>
        <w:t> </w:t>
      </w:r>
      <w:r>
        <w:rPr>
          <w:sz w:val="20"/>
        </w:rPr>
        <w:t>outstanding</w:t>
      </w:r>
      <w:r>
        <w:rPr>
          <w:spacing w:val="-4"/>
          <w:sz w:val="20"/>
        </w:rPr>
        <w:t> </w:t>
      </w:r>
      <w:r>
        <w:rPr>
          <w:sz w:val="20"/>
        </w:rPr>
        <w:t>shares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Common</w:t>
      </w:r>
      <w:r>
        <w:rPr>
          <w:spacing w:val="-4"/>
          <w:sz w:val="20"/>
        </w:rPr>
        <w:t> </w:t>
      </w:r>
      <w:r>
        <w:rPr>
          <w:sz w:val="20"/>
        </w:rPr>
        <w:t>Stock,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5"/>
          <w:sz w:val="20"/>
        </w:rPr>
        <w:t> </w:t>
      </w:r>
      <w:r>
        <w:rPr>
          <w:sz w:val="20"/>
        </w:rPr>
        <w:t>as-converted</w:t>
      </w:r>
      <w:r>
        <w:rPr>
          <w:spacing w:val="-5"/>
          <w:sz w:val="20"/>
        </w:rPr>
        <w:t> </w:t>
      </w:r>
      <w:r>
        <w:rPr>
          <w:sz w:val="20"/>
        </w:rPr>
        <w:t>basis,</w:t>
      </w:r>
      <w:r>
        <w:rPr>
          <w:spacing w:val="-52"/>
          <w:sz w:val="20"/>
        </w:rPr>
        <w:t> </w:t>
      </w:r>
      <w:r>
        <w:rPr>
          <w:sz w:val="20"/>
        </w:rPr>
        <w:t>represented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1"/>
          <w:sz w:val="20"/>
        </w:rPr>
        <w:t> </w:t>
      </w:r>
      <w:r>
        <w:rPr>
          <w:sz w:val="20"/>
        </w:rPr>
        <w:t>equity</w:t>
      </w:r>
      <w:r>
        <w:rPr>
          <w:spacing w:val="-1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be</w:t>
      </w:r>
      <w:r>
        <w:rPr>
          <w:spacing w:val="-1"/>
          <w:sz w:val="20"/>
        </w:rPr>
        <w:t> </w:t>
      </w:r>
      <w:r>
        <w:rPr>
          <w:sz w:val="20"/>
        </w:rPr>
        <w:t>pledged;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9"/>
        </w:numPr>
        <w:tabs>
          <w:tab w:pos="1689" w:val="left" w:leader="none"/>
          <w:tab w:pos="1690" w:val="left" w:leader="none"/>
        </w:tabs>
        <w:spacing w:line="249" w:lineRule="auto" w:before="0" w:after="0"/>
        <w:ind w:left="1690" w:right="899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value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equity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-4"/>
          <w:sz w:val="20"/>
        </w:rPr>
        <w:t> </w:t>
      </w:r>
      <w:r>
        <w:rPr>
          <w:sz w:val="20"/>
        </w:rPr>
        <w:t>pledged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compared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net</w:t>
      </w:r>
      <w:r>
        <w:rPr>
          <w:spacing w:val="-4"/>
          <w:sz w:val="20"/>
        </w:rPr>
        <w:t> </w:t>
      </w:r>
      <w:r>
        <w:rPr>
          <w:sz w:val="20"/>
        </w:rPr>
        <w:t>worth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individual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other</w:t>
      </w:r>
      <w:r>
        <w:rPr>
          <w:spacing w:val="1"/>
          <w:sz w:val="20"/>
        </w:rPr>
        <w:t> </w:t>
      </w:r>
      <w:r>
        <w:rPr>
          <w:sz w:val="20"/>
        </w:rPr>
        <w:t>factors</w:t>
      </w:r>
      <w:r>
        <w:rPr>
          <w:spacing w:val="-5"/>
          <w:sz w:val="20"/>
        </w:rPr>
        <w:t> </w:t>
      </w:r>
      <w:r>
        <w:rPr>
          <w:sz w:val="20"/>
        </w:rPr>
        <w:t>bearing</w:t>
      </w:r>
      <w:r>
        <w:rPr>
          <w:spacing w:val="-4"/>
          <w:sz w:val="20"/>
        </w:rPr>
        <w:t> </w:t>
      </w:r>
      <w:r>
        <w:rPr>
          <w:sz w:val="20"/>
        </w:rPr>
        <w:t>on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ability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individual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prevent</w:t>
      </w:r>
      <w:r>
        <w:rPr>
          <w:spacing w:val="-4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forced</w:t>
      </w:r>
      <w:r>
        <w:rPr>
          <w:spacing w:val="-4"/>
          <w:sz w:val="20"/>
        </w:rPr>
        <w:t> </w:t>
      </w:r>
      <w:r>
        <w:rPr>
          <w:sz w:val="20"/>
        </w:rPr>
        <w:t>sale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pledged</w:t>
      </w:r>
      <w:r>
        <w:rPr>
          <w:spacing w:val="-5"/>
          <w:sz w:val="20"/>
        </w:rPr>
        <w:t> </w:t>
      </w:r>
      <w:r>
        <w:rPr>
          <w:sz w:val="20"/>
        </w:rPr>
        <w:t>position;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9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90" w:right="0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number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days</w:t>
      </w:r>
      <w:r>
        <w:rPr>
          <w:spacing w:val="-4"/>
          <w:sz w:val="20"/>
        </w:rPr>
        <w:t> </w:t>
      </w:r>
      <w:r>
        <w:rPr>
          <w:sz w:val="20"/>
        </w:rPr>
        <w:t>required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unwind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proposed</w:t>
      </w:r>
      <w:r>
        <w:rPr>
          <w:spacing w:val="-5"/>
          <w:sz w:val="20"/>
        </w:rPr>
        <w:t> </w:t>
      </w:r>
      <w:r>
        <w:rPr>
          <w:sz w:val="20"/>
        </w:rPr>
        <w:t>pledge;</w:t>
      </w:r>
    </w:p>
    <w:p>
      <w:pPr>
        <w:pStyle w:val="BodyText"/>
        <w:spacing w:before="3"/>
        <w:rPr>
          <w:sz w:val="18"/>
        </w:rPr>
      </w:pPr>
    </w:p>
    <w:p>
      <w:pPr>
        <w:pStyle w:val="ListParagraph"/>
        <w:numPr>
          <w:ilvl w:val="1"/>
          <w:numId w:val="9"/>
        </w:numPr>
        <w:tabs>
          <w:tab w:pos="1689" w:val="left" w:leader="none"/>
          <w:tab w:pos="1690" w:val="left" w:leader="none"/>
        </w:tabs>
        <w:spacing w:line="249" w:lineRule="auto" w:before="0" w:after="0"/>
        <w:ind w:left="1690" w:right="341" w:hanging="360"/>
        <w:jc w:val="left"/>
        <w:rPr>
          <w:sz w:val="20"/>
        </w:rPr>
      </w:pP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structural</w:t>
      </w:r>
      <w:r>
        <w:rPr>
          <w:spacing w:val="-5"/>
          <w:sz w:val="20"/>
        </w:rPr>
        <w:t> </w:t>
      </w:r>
      <w:r>
        <w:rPr>
          <w:sz w:val="20"/>
        </w:rPr>
        <w:t>protections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borrowing</w:t>
      </w:r>
      <w:r>
        <w:rPr>
          <w:spacing w:val="-5"/>
          <w:sz w:val="20"/>
        </w:rPr>
        <w:t> </w:t>
      </w:r>
      <w:r>
        <w:rPr>
          <w:sz w:val="20"/>
        </w:rPr>
        <w:t>arrangement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guard</w:t>
      </w:r>
      <w:r>
        <w:rPr>
          <w:spacing w:val="-5"/>
          <w:sz w:val="20"/>
        </w:rPr>
        <w:t> </w:t>
      </w:r>
      <w:r>
        <w:rPr>
          <w:sz w:val="20"/>
        </w:rPr>
        <w:t>against</w:t>
      </w:r>
      <w:r>
        <w:rPr>
          <w:spacing w:val="-5"/>
          <w:sz w:val="20"/>
        </w:rPr>
        <w:t> </w:t>
      </w:r>
      <w:r>
        <w:rPr>
          <w:sz w:val="20"/>
        </w:rPr>
        <w:t>foreclosure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pledged</w:t>
      </w:r>
      <w:r>
        <w:rPr>
          <w:spacing w:val="1"/>
          <w:sz w:val="20"/>
        </w:rPr>
        <w:t> </w:t>
      </w:r>
      <w:r>
        <w:rPr>
          <w:sz w:val="20"/>
        </w:rPr>
        <w:t>position,</w:t>
      </w:r>
      <w:r>
        <w:rPr>
          <w:spacing w:val="-2"/>
          <w:sz w:val="20"/>
        </w:rPr>
        <w:t> </w:t>
      </w:r>
      <w:r>
        <w:rPr>
          <w:sz w:val="20"/>
        </w:rPr>
        <w:t>including</w:t>
      </w:r>
      <w:r>
        <w:rPr>
          <w:spacing w:val="-2"/>
          <w:sz w:val="20"/>
        </w:rPr>
        <w:t> </w:t>
      </w:r>
      <w:r>
        <w:rPr>
          <w:sz w:val="20"/>
        </w:rPr>
        <w:t>whether</w:t>
      </w:r>
      <w:r>
        <w:rPr>
          <w:spacing w:val="-2"/>
          <w:sz w:val="20"/>
        </w:rPr>
        <w:t> </w:t>
      </w:r>
      <w:r>
        <w:rPr>
          <w:sz w:val="20"/>
        </w:rPr>
        <w:t>there</w:t>
      </w:r>
      <w:r>
        <w:rPr>
          <w:spacing w:val="-2"/>
          <w:sz w:val="20"/>
        </w:rPr>
        <w:t> </w:t>
      </w:r>
      <w:r>
        <w:rPr>
          <w:sz w:val="20"/>
        </w:rPr>
        <w:t>are</w:t>
      </w:r>
      <w:r>
        <w:rPr>
          <w:spacing w:val="-1"/>
          <w:sz w:val="20"/>
        </w:rPr>
        <w:t> </w:t>
      </w:r>
      <w:r>
        <w:rPr>
          <w:sz w:val="20"/>
        </w:rPr>
        <w:t>other</w:t>
      </w:r>
      <w:r>
        <w:rPr>
          <w:spacing w:val="-2"/>
          <w:sz w:val="20"/>
        </w:rPr>
        <w:t> </w:t>
      </w:r>
      <w:r>
        <w:rPr>
          <w:sz w:val="20"/>
        </w:rPr>
        <w:t>assets</w:t>
      </w:r>
      <w:r>
        <w:rPr>
          <w:spacing w:val="-2"/>
          <w:sz w:val="20"/>
        </w:rPr>
        <w:t> </w:t>
      </w:r>
      <w:r>
        <w:rPr>
          <w:sz w:val="20"/>
        </w:rPr>
        <w:t>securing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loan;</w:t>
      </w:r>
      <w:r>
        <w:rPr>
          <w:spacing w:val="-1"/>
          <w:sz w:val="20"/>
        </w:rPr>
        <w:t> </w:t>
      </w:r>
      <w:r>
        <w:rPr>
          <w:sz w:val="20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9"/>
        </w:numPr>
        <w:tabs>
          <w:tab w:pos="1689" w:val="left" w:leader="none"/>
          <w:tab w:pos="1690" w:val="left" w:leader="none"/>
        </w:tabs>
        <w:spacing w:line="240" w:lineRule="auto" w:before="0" w:after="0"/>
        <w:ind w:left="1690" w:right="0" w:hanging="360"/>
        <w:jc w:val="left"/>
        <w:rPr>
          <w:sz w:val="20"/>
        </w:rPr>
      </w:pPr>
      <w:r>
        <w:rPr>
          <w:sz w:val="20"/>
        </w:rPr>
        <w:t>historical</w:t>
      </w:r>
      <w:r>
        <w:rPr>
          <w:spacing w:val="-6"/>
          <w:sz w:val="20"/>
        </w:rPr>
        <w:t> </w:t>
      </w:r>
      <w:r>
        <w:rPr>
          <w:sz w:val="20"/>
        </w:rPr>
        <w:t>share</w:t>
      </w:r>
      <w:r>
        <w:rPr>
          <w:spacing w:val="-6"/>
          <w:sz w:val="20"/>
        </w:rPr>
        <w:t> </w:t>
      </w:r>
      <w:r>
        <w:rPr>
          <w:sz w:val="20"/>
        </w:rPr>
        <w:t>prices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trends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6"/>
          <w:sz w:val="20"/>
        </w:rPr>
        <w:t> </w:t>
      </w:r>
      <w:r>
        <w:rPr>
          <w:sz w:val="20"/>
        </w:rPr>
        <w:t>trading</w:t>
      </w:r>
      <w:r>
        <w:rPr>
          <w:spacing w:val="-5"/>
          <w:sz w:val="20"/>
        </w:rPr>
        <w:t> </w:t>
      </w:r>
      <w:r>
        <w:rPr>
          <w:sz w:val="20"/>
        </w:rPr>
        <w:t>volumes</w:t>
      </w:r>
      <w:r>
        <w:rPr>
          <w:spacing w:val="-6"/>
          <w:sz w:val="20"/>
        </w:rPr>
        <w:t> </w:t>
      </w:r>
      <w:r>
        <w:rPr>
          <w:sz w:val="20"/>
        </w:rPr>
        <w:t>with</w:t>
      </w:r>
      <w:r>
        <w:rPr>
          <w:spacing w:val="-6"/>
          <w:sz w:val="20"/>
        </w:rPr>
        <w:t> </w:t>
      </w:r>
      <w:r>
        <w:rPr>
          <w:sz w:val="20"/>
        </w:rPr>
        <w:t>respect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Company’s</w:t>
      </w:r>
      <w:r>
        <w:rPr>
          <w:spacing w:val="-6"/>
          <w:sz w:val="20"/>
        </w:rPr>
        <w:t> </w:t>
      </w:r>
      <w:r>
        <w:rPr>
          <w:sz w:val="20"/>
        </w:rPr>
        <w:t>equity.</w:t>
      </w:r>
    </w:p>
    <w:p>
      <w:pPr>
        <w:pStyle w:val="BodyText"/>
        <w:spacing w:before="4"/>
        <w:rPr>
          <w:sz w:val="18"/>
        </w:rPr>
      </w:pPr>
    </w:p>
    <w:p>
      <w:pPr>
        <w:pStyle w:val="ListParagraph"/>
        <w:numPr>
          <w:ilvl w:val="0"/>
          <w:numId w:val="9"/>
        </w:numPr>
        <w:tabs>
          <w:tab w:pos="970" w:val="left" w:leader="none"/>
        </w:tabs>
        <w:spacing w:line="254" w:lineRule="auto" w:before="0" w:after="0"/>
        <w:ind w:left="970" w:right="388" w:hanging="360"/>
        <w:jc w:val="left"/>
        <w:rPr>
          <w:sz w:val="20"/>
        </w:rPr>
      </w:pP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any</w:t>
      </w:r>
      <w:r>
        <w:rPr>
          <w:spacing w:val="-4"/>
          <w:sz w:val="20"/>
        </w:rPr>
        <w:t> </w:t>
      </w:r>
      <w:r>
        <w:rPr>
          <w:sz w:val="20"/>
        </w:rPr>
        <w:t>new</w:t>
      </w:r>
      <w:r>
        <w:rPr>
          <w:spacing w:val="-3"/>
          <w:sz w:val="20"/>
        </w:rPr>
        <w:t> </w:t>
      </w:r>
      <w:r>
        <w:rPr>
          <w:sz w:val="20"/>
        </w:rPr>
        <w:t>loan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includes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proposed</w:t>
      </w:r>
      <w:r>
        <w:rPr>
          <w:spacing w:val="-4"/>
          <w:sz w:val="20"/>
        </w:rPr>
        <w:t> </w:t>
      </w:r>
      <w:r>
        <w:rPr>
          <w:sz w:val="20"/>
        </w:rPr>
        <w:t>pledge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our</w:t>
      </w:r>
      <w:r>
        <w:rPr>
          <w:spacing w:val="-3"/>
          <w:sz w:val="20"/>
        </w:rPr>
        <w:t> </w:t>
      </w:r>
      <w:r>
        <w:rPr>
          <w:sz w:val="20"/>
        </w:rPr>
        <w:t>shares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Common</w:t>
      </w:r>
      <w:r>
        <w:rPr>
          <w:spacing w:val="-3"/>
          <w:sz w:val="20"/>
        </w:rPr>
        <w:t> </w:t>
      </w:r>
      <w:r>
        <w:rPr>
          <w:sz w:val="20"/>
        </w:rPr>
        <w:t>Stock</w:t>
      </w:r>
      <w:r>
        <w:rPr>
          <w:spacing w:val="-4"/>
          <w:sz w:val="20"/>
        </w:rPr>
        <w:t> </w:t>
      </w:r>
      <w:r>
        <w:rPr>
          <w:sz w:val="20"/>
        </w:rPr>
        <w:t>and/or</w:t>
      </w:r>
      <w:r>
        <w:rPr>
          <w:spacing w:val="-4"/>
          <w:sz w:val="20"/>
        </w:rPr>
        <w:t> </w:t>
      </w:r>
      <w:r>
        <w:rPr>
          <w:sz w:val="20"/>
        </w:rPr>
        <w:t>OP</w:t>
      </w:r>
      <w:r>
        <w:rPr>
          <w:spacing w:val="-6"/>
          <w:sz w:val="20"/>
        </w:rPr>
        <w:t> </w:t>
      </w:r>
      <w:r>
        <w:rPr>
          <w:sz w:val="20"/>
        </w:rPr>
        <w:t>Units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be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considered by the Audit Committee, the loan must </w:t>
      </w:r>
      <w:r>
        <w:rPr>
          <w:sz w:val="20"/>
        </w:rPr>
        <w:t>contain the following structural parameters intended to</w:t>
      </w:r>
      <w:r>
        <w:rPr>
          <w:spacing w:val="1"/>
          <w:sz w:val="20"/>
        </w:rPr>
        <w:t> </w:t>
      </w:r>
      <w:r>
        <w:rPr>
          <w:sz w:val="20"/>
        </w:rPr>
        <w:t>mitigate the risk of a forced sale as a result of a decline in the market price of our Common Stock and OP</w:t>
      </w:r>
      <w:r>
        <w:rPr>
          <w:spacing w:val="1"/>
          <w:sz w:val="20"/>
        </w:rPr>
        <w:t> </w:t>
      </w:r>
      <w:r>
        <w:rPr>
          <w:sz w:val="20"/>
        </w:rPr>
        <w:t>Units:</w:t>
      </w:r>
    </w:p>
    <w:p>
      <w:pPr>
        <w:pStyle w:val="ListParagraph"/>
        <w:numPr>
          <w:ilvl w:val="1"/>
          <w:numId w:val="9"/>
        </w:numPr>
        <w:tabs>
          <w:tab w:pos="1689" w:val="left" w:leader="none"/>
          <w:tab w:pos="1690" w:val="left" w:leader="none"/>
        </w:tabs>
        <w:spacing w:line="249" w:lineRule="auto" w:before="196" w:after="0"/>
        <w:ind w:left="1690" w:right="521" w:hanging="360"/>
        <w:jc w:val="left"/>
        <w:rPr>
          <w:sz w:val="20"/>
        </w:rPr>
      </w:pPr>
      <w:r>
        <w:rPr>
          <w:sz w:val="20"/>
        </w:rPr>
        <w:t>the loans must be compliant with the requirements of Federal Reserve Regulation U, limiting the</w:t>
      </w:r>
      <w:r>
        <w:rPr>
          <w:spacing w:val="1"/>
          <w:sz w:val="20"/>
        </w:rPr>
        <w:t> </w:t>
      </w:r>
      <w:r>
        <w:rPr>
          <w:sz w:val="20"/>
        </w:rPr>
        <w:t>amount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any</w:t>
      </w:r>
      <w:r>
        <w:rPr>
          <w:spacing w:val="-3"/>
          <w:sz w:val="20"/>
        </w:rPr>
        <w:t> </w:t>
      </w:r>
      <w:r>
        <w:rPr>
          <w:sz w:val="20"/>
        </w:rPr>
        <w:t>such</w:t>
      </w:r>
      <w:r>
        <w:rPr>
          <w:spacing w:val="-3"/>
          <w:sz w:val="20"/>
        </w:rPr>
        <w:t> </w:t>
      </w:r>
      <w:r>
        <w:rPr>
          <w:sz w:val="20"/>
        </w:rPr>
        <w:t>loan</w:t>
      </w:r>
      <w:r>
        <w:rPr>
          <w:spacing w:val="-3"/>
          <w:sz w:val="20"/>
        </w:rPr>
        <w:t> </w:t>
      </w:r>
      <w:r>
        <w:rPr>
          <w:sz w:val="20"/>
        </w:rPr>
        <w:t>to</w:t>
      </w:r>
      <w:r>
        <w:rPr>
          <w:spacing w:val="-3"/>
          <w:sz w:val="20"/>
        </w:rPr>
        <w:t> </w:t>
      </w:r>
      <w:r>
        <w:rPr>
          <w:sz w:val="20"/>
        </w:rPr>
        <w:t>a</w:t>
      </w:r>
      <w:r>
        <w:rPr>
          <w:spacing w:val="-3"/>
          <w:sz w:val="20"/>
        </w:rPr>
        <w:t> </w:t>
      </w:r>
      <w:r>
        <w:rPr>
          <w:sz w:val="20"/>
        </w:rPr>
        <w:t>maximum</w:t>
      </w:r>
      <w:r>
        <w:rPr>
          <w:spacing w:val="-4"/>
          <w:sz w:val="20"/>
        </w:rPr>
        <w:t> </w:t>
      </w:r>
      <w:r>
        <w:rPr>
          <w:sz w:val="20"/>
        </w:rPr>
        <w:t>50%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value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collateral,</w:t>
      </w:r>
      <w:r>
        <w:rPr>
          <w:spacing w:val="-4"/>
          <w:sz w:val="20"/>
        </w:rPr>
        <w:t> </w:t>
      </w:r>
      <w:r>
        <w:rPr>
          <w:sz w:val="20"/>
        </w:rPr>
        <w:t>as</w:t>
      </w:r>
      <w:r>
        <w:rPr>
          <w:spacing w:val="-3"/>
          <w:sz w:val="20"/>
        </w:rPr>
        <w:t> </w:t>
      </w:r>
      <w:r>
        <w:rPr>
          <w:sz w:val="20"/>
        </w:rPr>
        <w:t>measured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time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3"/>
          <w:sz w:val="20"/>
        </w:rPr>
        <w:t> </w:t>
      </w:r>
      <w:r>
        <w:rPr>
          <w:sz w:val="20"/>
        </w:rPr>
        <w:t>borrowing;</w:t>
      </w:r>
      <w:r>
        <w:rPr>
          <w:spacing w:val="-2"/>
          <w:sz w:val="20"/>
        </w:rPr>
        <w:t> </w:t>
      </w:r>
      <w:r>
        <w:rPr>
          <w:sz w:val="20"/>
        </w:rPr>
        <w:t>and</w:t>
      </w:r>
    </w:p>
    <w:p>
      <w:pPr>
        <w:pStyle w:val="BodyText"/>
        <w:spacing w:before="6"/>
        <w:rPr>
          <w:sz w:val="17"/>
        </w:rPr>
      </w:pPr>
    </w:p>
    <w:p>
      <w:pPr>
        <w:pStyle w:val="ListParagraph"/>
        <w:numPr>
          <w:ilvl w:val="1"/>
          <w:numId w:val="9"/>
        </w:numPr>
        <w:tabs>
          <w:tab w:pos="1690" w:val="left" w:leader="none"/>
        </w:tabs>
        <w:spacing w:line="249" w:lineRule="auto" w:before="0" w:after="0"/>
        <w:ind w:left="1690" w:right="452" w:hanging="360"/>
        <w:jc w:val="both"/>
        <w:rPr>
          <w:sz w:val="20"/>
        </w:rPr>
      </w:pPr>
      <w:r>
        <w:rPr>
          <w:sz w:val="20"/>
        </w:rPr>
        <w:t>the loan and pledge arrangements may not contain provisions requiring automatic or forced sales,</w:t>
      </w:r>
      <w:r>
        <w:rPr>
          <w:spacing w:val="-53"/>
          <w:sz w:val="20"/>
        </w:rPr>
        <w:t> </w:t>
      </w:r>
      <w:r>
        <w:rPr>
          <w:sz w:val="20"/>
        </w:rPr>
        <w:t>prior to notice and a cure period of not less than three business days between when specific loan-</w:t>
      </w:r>
      <w:r>
        <w:rPr>
          <w:spacing w:val="-53"/>
          <w:sz w:val="20"/>
        </w:rPr>
        <w:t> </w:t>
      </w:r>
      <w:r>
        <w:rPr>
          <w:sz w:val="20"/>
        </w:rPr>
        <w:t>to-value</w:t>
      </w:r>
      <w:r>
        <w:rPr>
          <w:spacing w:val="-5"/>
          <w:sz w:val="20"/>
        </w:rPr>
        <w:t> </w:t>
      </w:r>
      <w:r>
        <w:rPr>
          <w:sz w:val="20"/>
        </w:rPr>
        <w:t>thresholds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exceeded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when</w:t>
      </w:r>
      <w:r>
        <w:rPr>
          <w:spacing w:val="-4"/>
          <w:sz w:val="20"/>
        </w:rPr>
        <w:t> </w:t>
      </w:r>
      <w:r>
        <w:rPr>
          <w:sz w:val="20"/>
        </w:rPr>
        <w:t>lenders</w:t>
      </w:r>
      <w:r>
        <w:rPr>
          <w:spacing w:val="-5"/>
          <w:sz w:val="20"/>
        </w:rPr>
        <w:t> </w:t>
      </w:r>
      <w:r>
        <w:rPr>
          <w:sz w:val="20"/>
        </w:rPr>
        <w:t>have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right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exercise</w:t>
      </w:r>
      <w:r>
        <w:rPr>
          <w:spacing w:val="-4"/>
          <w:sz w:val="20"/>
        </w:rPr>
        <w:t> </w:t>
      </w:r>
      <w:r>
        <w:rPr>
          <w:sz w:val="20"/>
        </w:rPr>
        <w:t>remedies</w:t>
      </w:r>
      <w:r>
        <w:rPr>
          <w:spacing w:val="-4"/>
          <w:sz w:val="20"/>
        </w:rPr>
        <w:t> </w:t>
      </w:r>
      <w:r>
        <w:rPr>
          <w:sz w:val="20"/>
        </w:rPr>
        <w:t>under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1"/>
          <w:sz w:val="20"/>
        </w:rPr>
        <w:t> </w:t>
      </w:r>
      <w:r>
        <w:rPr>
          <w:sz w:val="20"/>
        </w:rPr>
        <w:t>pledge</w:t>
      </w:r>
      <w:r>
        <w:rPr>
          <w:spacing w:val="-2"/>
          <w:sz w:val="20"/>
        </w:rPr>
        <w:t> </w:t>
      </w:r>
      <w:r>
        <w:rPr>
          <w:sz w:val="20"/>
        </w:rPr>
        <w:t>arrangement.</w:t>
      </w:r>
    </w:p>
    <w:p>
      <w:pPr>
        <w:spacing w:after="0" w:line="249" w:lineRule="auto"/>
        <w:jc w:val="both"/>
        <w:rPr>
          <w:sz w:val="20"/>
        </w:rPr>
        <w:sectPr>
          <w:pgSz w:w="12240" w:h="15840"/>
          <w:pgMar w:header="0" w:footer="518" w:top="740" w:bottom="780" w:left="740" w:right="700"/>
        </w:sectPr>
      </w:pPr>
    </w:p>
    <w:p>
      <w:pPr>
        <w:pStyle w:val="Heading2"/>
        <w:spacing w:before="64"/>
      </w:pPr>
      <w:bookmarkStart w:name="Political Contributions Policy" w:id="31"/>
      <w:bookmarkEnd w:id="31"/>
      <w:r>
        <w:rPr>
          <w:b w:val="0"/>
        </w:rPr>
      </w:r>
      <w:bookmarkStart w:name="_bookmark12" w:id="32"/>
      <w:bookmarkEnd w:id="32"/>
      <w:r>
        <w:rPr>
          <w:b w:val="0"/>
        </w:rPr>
      </w:r>
      <w:r>
        <w:rPr>
          <w:color w:val="00539E"/>
        </w:rPr>
        <w:t>Political</w:t>
      </w:r>
      <w:r>
        <w:rPr>
          <w:color w:val="00539E"/>
          <w:spacing w:val="-3"/>
        </w:rPr>
        <w:t> </w:t>
      </w:r>
      <w:r>
        <w:rPr>
          <w:color w:val="00539E"/>
        </w:rPr>
        <w:t>Contributions</w:t>
      </w:r>
      <w:r>
        <w:rPr>
          <w:color w:val="00539E"/>
          <w:spacing w:val="-2"/>
        </w:rPr>
        <w:t> </w:t>
      </w:r>
      <w:r>
        <w:rPr>
          <w:color w:val="00539E"/>
        </w:rPr>
        <w:t>Policy</w:t>
      </w:r>
    </w:p>
    <w:p>
      <w:pPr>
        <w:pStyle w:val="BodyText"/>
        <w:spacing w:line="249" w:lineRule="auto" w:before="221"/>
        <w:ind w:left="250" w:right="282"/>
      </w:pPr>
      <w:r>
        <w:rPr/>
        <w:t>The Company has a robust policy governing political expenditures. Under the policy approved by the Board, any</w:t>
      </w:r>
      <w:r>
        <w:rPr>
          <w:spacing w:val="1"/>
        </w:rPr>
        <w:t> </w:t>
      </w:r>
      <w:r>
        <w:rPr/>
        <w:t>political spending by the Company must be legitimately linked to the Company's business purposes and strategic</w:t>
      </w:r>
      <w:r>
        <w:rPr>
          <w:spacing w:val="1"/>
        </w:rPr>
        <w:t> </w:t>
      </w:r>
      <w:r>
        <w:rPr/>
        <w:t>intent, approved by the Chief Executive Officer, and reviewed annually by the Compensation Committee. The policy</w:t>
      </w:r>
      <w:r>
        <w:rPr>
          <w:spacing w:val="-53"/>
        </w:rPr>
        <w:t> </w:t>
      </w:r>
      <w:r>
        <w:rPr/>
        <w:t>is available on the Company's website at </w:t>
      </w:r>
      <w:hyperlink r:id="rId19">
        <w:r>
          <w:rPr>
            <w:i/>
          </w:rPr>
          <w:t>www.equitylifestyleproperties.com </w:t>
        </w:r>
      </w:hyperlink>
      <w:r>
        <w:rPr/>
        <w:t>in the investor relations section under</w:t>
      </w:r>
      <w:r>
        <w:rPr>
          <w:spacing w:val="1"/>
        </w:rPr>
        <w:t> </w:t>
      </w:r>
      <w:r>
        <w:rPr/>
        <w:t>"Corporate</w:t>
      </w:r>
      <w:r>
        <w:rPr>
          <w:spacing w:val="-2"/>
        </w:rPr>
        <w:t> </w:t>
      </w:r>
      <w:r>
        <w:rPr/>
        <w:t>Governance."</w:t>
      </w:r>
    </w:p>
    <w:p>
      <w:pPr>
        <w:pStyle w:val="Heading2"/>
        <w:spacing w:before="195"/>
      </w:pPr>
      <w:bookmarkStart w:name="Committees of the Board; Meetings" w:id="33"/>
      <w:bookmarkEnd w:id="33"/>
      <w:r>
        <w:rPr>
          <w:b w:val="0"/>
        </w:rPr>
      </w:r>
      <w:bookmarkStart w:name="_bookmark13" w:id="34"/>
      <w:bookmarkEnd w:id="34"/>
      <w:r>
        <w:rPr>
          <w:b w:val="0"/>
        </w:rPr>
      </w:r>
      <w:r>
        <w:rPr>
          <w:color w:val="00539E"/>
        </w:rPr>
        <w:t>Committees</w:t>
      </w:r>
      <w:r>
        <w:rPr>
          <w:color w:val="00539E"/>
          <w:spacing w:val="-3"/>
        </w:rPr>
        <w:t> </w:t>
      </w:r>
      <w:r>
        <w:rPr>
          <w:color w:val="00539E"/>
        </w:rPr>
        <w:t>of</w:t>
      </w:r>
      <w:r>
        <w:rPr>
          <w:color w:val="00539E"/>
          <w:spacing w:val="-2"/>
        </w:rPr>
        <w:t> </w:t>
      </w:r>
      <w:r>
        <w:rPr>
          <w:color w:val="00539E"/>
        </w:rPr>
        <w:t>the</w:t>
      </w:r>
      <w:r>
        <w:rPr>
          <w:color w:val="00539E"/>
          <w:spacing w:val="-3"/>
        </w:rPr>
        <w:t> </w:t>
      </w:r>
      <w:r>
        <w:rPr>
          <w:color w:val="00539E"/>
        </w:rPr>
        <w:t>Board;</w:t>
      </w:r>
      <w:r>
        <w:rPr>
          <w:color w:val="00539E"/>
          <w:spacing w:val="-2"/>
        </w:rPr>
        <w:t> </w:t>
      </w:r>
      <w:r>
        <w:rPr>
          <w:color w:val="00539E"/>
        </w:rPr>
        <w:t>Meetings</w:t>
      </w:r>
    </w:p>
    <w:p>
      <w:pPr>
        <w:pStyle w:val="BodyText"/>
        <w:spacing w:line="249" w:lineRule="auto" w:before="221"/>
        <w:ind w:left="250" w:right="282"/>
      </w:pPr>
      <w:r>
        <w:rPr/>
        <w:t>During the year ended December 31, 2021, the Board held four meetings. Each of the Directors attended 94% or</w:t>
      </w:r>
      <w:r>
        <w:rPr>
          <w:spacing w:val="1"/>
        </w:rPr>
        <w:t> </w:t>
      </w:r>
      <w:r>
        <w:rPr/>
        <w:t>more of the total number of meetings of the Board and the committees on which he or she served. The members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4"/>
        </w:rPr>
        <w:t> </w:t>
      </w:r>
      <w:r>
        <w:rPr/>
        <w:t>committees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elected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year</w:t>
      </w:r>
      <w:r>
        <w:rPr>
          <w:spacing w:val="-4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4"/>
        </w:rPr>
        <w:t> </w:t>
      </w:r>
      <w:r>
        <w:rPr/>
        <w:t>meeting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held</w:t>
      </w:r>
      <w:r>
        <w:rPr>
          <w:spacing w:val="-4"/>
        </w:rPr>
        <w:t> </w:t>
      </w:r>
      <w:r>
        <w:rPr/>
        <w:t>after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annual</w:t>
      </w:r>
      <w:r>
        <w:rPr>
          <w:spacing w:val="-4"/>
        </w:rPr>
        <w:t> </w:t>
      </w:r>
      <w:r>
        <w:rPr/>
        <w:t>meeting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stockholders.</w:t>
      </w:r>
    </w:p>
    <w:p>
      <w:pPr>
        <w:pStyle w:val="BodyText"/>
      </w:pPr>
    </w:p>
    <w:p>
      <w:pPr>
        <w:pStyle w:val="BodyText"/>
        <w:spacing w:before="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1259868</wp:posOffset>
            </wp:positionH>
            <wp:positionV relativeFrom="paragraph">
              <wp:posOffset>89262</wp:posOffset>
            </wp:positionV>
            <wp:extent cx="5275365" cy="906779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365" cy="906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line="249" w:lineRule="auto" w:before="162"/>
        <w:ind w:left="250" w:right="376"/>
      </w:pPr>
      <w:r>
        <w:rPr/>
        <w:t>The four standing committees of the Board are: Audit Committee, Compensation, Nominating and Corporate</w:t>
      </w:r>
      <w:r>
        <w:rPr>
          <w:spacing w:val="1"/>
        </w:rPr>
        <w:t> </w:t>
      </w:r>
      <w:r>
        <w:rPr/>
        <w:t>Governance Committee, Executive Committee, and Strategic Planning Committee. The Board has determined that</w:t>
      </w:r>
      <w:r>
        <w:rPr>
          <w:spacing w:val="-53"/>
        </w:rPr>
        <w:t> </w:t>
      </w:r>
      <w:r>
        <w:rPr/>
        <w:t>each member of the Audit Committee and Compensation Committee is an "independent" Director within the</w:t>
      </w:r>
      <w:r>
        <w:rPr>
          <w:spacing w:val="1"/>
        </w:rPr>
        <w:t> </w:t>
      </w:r>
      <w:r>
        <w:rPr/>
        <w:t>meaning set forth in the NYSE listing standards and Rule 10A-3 under the Securities Exchange Act of 1934, as</w:t>
      </w:r>
      <w:r>
        <w:rPr>
          <w:spacing w:val="1"/>
        </w:rPr>
        <w:t> </w:t>
      </w:r>
      <w:r>
        <w:rPr/>
        <w:t>amended (the "Exchange Act"). The Audit Committee and Compensation Committee each are governed by a</w:t>
      </w:r>
      <w:r>
        <w:rPr>
          <w:spacing w:val="1"/>
        </w:rPr>
        <w:t> </w:t>
      </w:r>
      <w:r>
        <w:rPr/>
        <w:t>charter which generally states the purpose of the committee and outlines the committee's structure and</w:t>
      </w:r>
      <w:r>
        <w:rPr>
          <w:spacing w:val="1"/>
        </w:rPr>
        <w:t> </w:t>
      </w:r>
      <w:r>
        <w:rPr/>
        <w:t>responsibilities.</w:t>
      </w:r>
      <w:r>
        <w:rPr>
          <w:spacing w:val="1"/>
        </w:rPr>
        <w:t> </w:t>
      </w:r>
      <w:r>
        <w:rPr/>
        <w:t>These charters are available on our website.</w:t>
      </w:r>
      <w:r>
        <w:rPr>
          <w:spacing w:val="1"/>
        </w:rPr>
        <w:t> </w:t>
      </w:r>
      <w:r>
        <w:rPr/>
        <w:t>The current membership information for our Board</w:t>
      </w:r>
      <w:r>
        <w:rPr>
          <w:spacing w:val="1"/>
        </w:rPr>
        <w:t> </w:t>
      </w:r>
      <w:r>
        <w:rPr/>
        <w:t>committees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8"/>
        <w:rPr>
          <w:sz w:val="23"/>
        </w:rPr>
      </w:pPr>
    </w:p>
    <w:p>
      <w:pPr>
        <w:pStyle w:val="Heading2"/>
        <w:ind w:left="302"/>
      </w:pPr>
      <w:r>
        <w:rPr/>
        <w:pict>
          <v:group style="position:absolute;margin-left:49.5pt;margin-top:16.275850pt;width:506.25pt;height:1pt;mso-position-horizontal-relative:page;mso-position-vertical-relative:paragraph;z-index:-15715328;mso-wrap-distance-left:0;mso-wrap-distance-right:0" id="docshapegroup25" coordorigin="990,326" coordsize="10125,20">
            <v:shape style="position:absolute;left:990;top:335;width:10125;height:2" id="docshape26" coordorigin="990,336" coordsize="10125,0" path="m11115,336l990,336e" filled="true" fillcolor="#000000" stroked="false">
              <v:path arrowok="t"/>
              <v:fill opacity="0f" type="solid"/>
            </v:shape>
            <v:line style="position:absolute" from="990,336" to="11115,336" stroked="true" strokeweight="1pt" strokecolor="#00539e">
              <v:stroke dashstyle="solid"/>
            </v:line>
            <w10:wrap type="topAndBottom"/>
          </v:group>
        </w:pict>
      </w:r>
      <w:r>
        <w:rPr>
          <w:color w:val="00539E"/>
        </w:rPr>
        <w:t>Executive</w:t>
      </w:r>
      <w:r>
        <w:rPr>
          <w:color w:val="00539E"/>
          <w:spacing w:val="-4"/>
        </w:rPr>
        <w:t> </w:t>
      </w:r>
      <w:r>
        <w:rPr>
          <w:color w:val="00539E"/>
        </w:rPr>
        <w:t>Committee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134.25pt;height:1pt;mso-position-horizontal-relative:char;mso-position-vertical-relative:line" id="docshapegroup27" coordorigin="0,0" coordsize="2685,20">
            <v:shape style="position:absolute;left:0;top:10;width:2685;height:2" id="docshape28" coordorigin="0,10" coordsize="2685,0" path="m2685,10l0,10e" filled="true" fillcolor="#000000" stroked="false">
              <v:path arrowok="t"/>
              <v:fill opacity="0f" type="solid"/>
            </v:shape>
            <v:line style="position:absolute" from="0,10" to="2685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518" w:top="740" w:bottom="780" w:left="740" w:right="700"/>
        </w:sectPr>
      </w:pPr>
    </w:p>
    <w:p>
      <w:pPr>
        <w:pStyle w:val="BodyText"/>
        <w:spacing w:before="23"/>
        <w:ind w:left="302"/>
      </w:pPr>
      <w:r>
        <w:rPr/>
        <w:t>Members:</w:t>
      </w:r>
    </w:p>
    <w:p>
      <w:pPr>
        <w:pStyle w:val="Heading5"/>
        <w:spacing w:line="249" w:lineRule="auto" w:before="10"/>
        <w:ind w:left="302" w:right="35"/>
      </w:pPr>
      <w:r>
        <w:rPr/>
        <w:t>Thomas</w:t>
      </w:r>
      <w:r>
        <w:rPr>
          <w:spacing w:val="-9"/>
        </w:rPr>
        <w:t> </w:t>
      </w:r>
      <w:r>
        <w:rPr/>
        <w:t>Heneghan</w:t>
      </w:r>
      <w:r>
        <w:rPr>
          <w:spacing w:val="-8"/>
        </w:rPr>
        <w:t> </w:t>
      </w:r>
      <w:r>
        <w:rPr/>
        <w:t>(Chair)</w:t>
      </w:r>
      <w:r>
        <w:rPr>
          <w:spacing w:val="-52"/>
        </w:rPr>
        <w:t> </w:t>
      </w:r>
      <w:r>
        <w:rPr/>
        <w:t>Samuel</w:t>
      </w:r>
      <w:r>
        <w:rPr>
          <w:spacing w:val="-2"/>
        </w:rPr>
        <w:t> </w:t>
      </w:r>
      <w:r>
        <w:rPr/>
        <w:t>Zell</w:t>
      </w:r>
    </w:p>
    <w:p>
      <w:pPr>
        <w:spacing w:before="1"/>
        <w:ind w:left="302" w:right="0" w:firstLine="0"/>
        <w:jc w:val="left"/>
        <w:rPr>
          <w:b/>
          <w:sz w:val="20"/>
        </w:rPr>
      </w:pPr>
      <w:r>
        <w:rPr>
          <w:b/>
          <w:sz w:val="20"/>
        </w:rPr>
        <w:t>Philip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Calian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9" w:lineRule="auto" w:before="23" w:after="0"/>
        <w:ind w:left="662" w:right="619" w:hanging="360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Authorizes the acquisition, disposition and financing of investments by the</w:t>
      </w:r>
      <w:r>
        <w:rPr>
          <w:spacing w:val="-53"/>
          <w:sz w:val="20"/>
        </w:rPr>
        <w:t> </w:t>
      </w:r>
      <w:r>
        <w:rPr>
          <w:sz w:val="20"/>
        </w:rPr>
        <w:t>Company</w:t>
      </w:r>
      <w:r>
        <w:rPr>
          <w:spacing w:val="-7"/>
          <w:sz w:val="20"/>
        </w:rPr>
        <w:t> </w:t>
      </w:r>
      <w:r>
        <w:rPr>
          <w:sz w:val="20"/>
        </w:rPr>
        <w:t>(including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issuance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6"/>
          <w:sz w:val="20"/>
        </w:rPr>
        <w:t> </w:t>
      </w:r>
      <w:r>
        <w:rPr>
          <w:sz w:val="20"/>
        </w:rPr>
        <w:t>additional</w:t>
      </w:r>
      <w:r>
        <w:rPr>
          <w:spacing w:val="-6"/>
          <w:sz w:val="20"/>
        </w:rPr>
        <w:t> </w:t>
      </w:r>
      <w:r>
        <w:rPr>
          <w:sz w:val="20"/>
        </w:rPr>
        <w:t>limited</w:t>
      </w:r>
      <w:r>
        <w:rPr>
          <w:spacing w:val="-6"/>
          <w:sz w:val="20"/>
        </w:rPr>
        <w:t> </w:t>
      </w:r>
      <w:r>
        <w:rPr>
          <w:sz w:val="20"/>
        </w:rPr>
        <w:t>partnership</w:t>
      </w:r>
      <w:r>
        <w:rPr>
          <w:spacing w:val="-7"/>
          <w:sz w:val="20"/>
        </w:rPr>
        <w:t> </w:t>
      </w:r>
      <w:r>
        <w:rPr>
          <w:sz w:val="20"/>
        </w:rPr>
        <w:t>interests</w:t>
      </w:r>
      <w:r>
        <w:rPr>
          <w:spacing w:val="-52"/>
          <w:sz w:val="20"/>
        </w:rPr>
        <w:t> </w:t>
      </w:r>
      <w:r>
        <w:rPr>
          <w:sz w:val="20"/>
        </w:rPr>
        <w:t>of MHC Operating Limited Partnership), in each case, below certain</w:t>
      </w:r>
      <w:r>
        <w:rPr>
          <w:spacing w:val="1"/>
          <w:sz w:val="20"/>
        </w:rPr>
        <w:t> </w:t>
      </w:r>
      <w:r>
        <w:rPr>
          <w:sz w:val="20"/>
        </w:rPr>
        <w:t>thresholds</w:t>
      </w:r>
      <w:r>
        <w:rPr>
          <w:spacing w:val="-4"/>
          <w:sz w:val="20"/>
        </w:rPr>
        <w:t> </w:t>
      </w:r>
      <w:r>
        <w:rPr>
          <w:sz w:val="20"/>
        </w:rPr>
        <w:t>set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Board,</w:t>
      </w:r>
      <w:r>
        <w:rPr>
          <w:spacing w:val="-3"/>
          <w:sz w:val="20"/>
        </w:rPr>
        <w:t> </w:t>
      </w:r>
      <w:r>
        <w:rPr>
          <w:sz w:val="20"/>
        </w:rPr>
        <w:t>without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need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further</w:t>
      </w:r>
      <w:r>
        <w:rPr>
          <w:spacing w:val="-4"/>
          <w:sz w:val="20"/>
        </w:rPr>
        <w:t> </w:t>
      </w:r>
      <w:r>
        <w:rPr>
          <w:sz w:val="20"/>
        </w:rPr>
        <w:t>Board</w:t>
      </w:r>
      <w:r>
        <w:rPr>
          <w:spacing w:val="-4"/>
          <w:sz w:val="20"/>
        </w:rPr>
        <w:t> </w:t>
      </w:r>
      <w:r>
        <w:rPr>
          <w:sz w:val="20"/>
        </w:rPr>
        <w:t>approval.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9" w:lineRule="auto" w:before="63" w:after="0"/>
        <w:ind w:left="662" w:right="796" w:hanging="360"/>
        <w:jc w:val="left"/>
        <w:rPr>
          <w:sz w:val="20"/>
        </w:rPr>
      </w:pPr>
      <w:r>
        <w:rPr>
          <w:sz w:val="20"/>
        </w:rPr>
        <w:t>Authorizes contracts and agreements, including those related to the</w:t>
      </w:r>
      <w:r>
        <w:rPr>
          <w:spacing w:val="1"/>
          <w:sz w:val="20"/>
        </w:rPr>
        <w:t> </w:t>
      </w:r>
      <w:r>
        <w:rPr>
          <w:sz w:val="20"/>
        </w:rPr>
        <w:t>borrowing of money by the Company, in each case, below certain</w:t>
      </w:r>
      <w:r>
        <w:rPr>
          <w:spacing w:val="1"/>
          <w:sz w:val="20"/>
        </w:rPr>
        <w:t> </w:t>
      </w:r>
      <w:r>
        <w:rPr>
          <w:sz w:val="20"/>
        </w:rPr>
        <w:t>thresholds</w:t>
      </w:r>
      <w:r>
        <w:rPr>
          <w:spacing w:val="-5"/>
          <w:sz w:val="20"/>
        </w:rPr>
        <w:t> </w:t>
      </w:r>
      <w:r>
        <w:rPr>
          <w:sz w:val="20"/>
        </w:rPr>
        <w:t>set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Board,</w:t>
      </w:r>
      <w:r>
        <w:rPr>
          <w:spacing w:val="-4"/>
          <w:sz w:val="20"/>
        </w:rPr>
        <w:t> </w:t>
      </w:r>
      <w:r>
        <w:rPr>
          <w:sz w:val="20"/>
        </w:rPr>
        <w:t>without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need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further</w:t>
      </w:r>
      <w:r>
        <w:rPr>
          <w:spacing w:val="-5"/>
          <w:sz w:val="20"/>
        </w:rPr>
        <w:t> </w:t>
      </w:r>
      <w:r>
        <w:rPr>
          <w:sz w:val="20"/>
        </w:rPr>
        <w:t>Board</w:t>
      </w:r>
      <w:r>
        <w:rPr>
          <w:spacing w:val="-4"/>
          <w:sz w:val="20"/>
        </w:rPr>
        <w:t> </w:t>
      </w:r>
      <w:r>
        <w:rPr>
          <w:sz w:val="20"/>
        </w:rPr>
        <w:t>approval.</w:t>
      </w:r>
    </w:p>
    <w:p>
      <w:pPr>
        <w:spacing w:after="0" w:line="249" w:lineRule="auto"/>
        <w:jc w:val="left"/>
        <w:rPr>
          <w:sz w:val="20"/>
        </w:rPr>
        <w:sectPr>
          <w:type w:val="continuous"/>
          <w:pgSz w:w="12240" w:h="15840"/>
          <w:pgMar w:header="0" w:footer="518" w:top="860" w:bottom="280" w:left="740" w:right="700"/>
          <w:cols w:num="2" w:equalWidth="0">
            <w:col w:w="2830" w:space="110"/>
            <w:col w:w="7860"/>
          </w:cols>
        </w:sectPr>
      </w:pPr>
    </w:p>
    <w:p>
      <w:pPr>
        <w:pStyle w:val="Heading2"/>
        <w:spacing w:before="79"/>
        <w:ind w:left="302"/>
      </w:pPr>
      <w:r>
        <w:rPr/>
        <w:pict>
          <v:group style="position:absolute;margin-left:49.5pt;margin-top:20.22588pt;width:506.25pt;height:1pt;mso-position-horizontal-relative:page;mso-position-vertical-relative:paragraph;z-index:-15714304;mso-wrap-distance-left:0;mso-wrap-distance-right:0" id="docshapegroup29" coordorigin="990,405" coordsize="10125,20">
            <v:shape style="position:absolute;left:990;top:414;width:10125;height:2" id="docshape30" coordorigin="990,415" coordsize="10125,0" path="m11115,415l990,415e" filled="true" fillcolor="#000000" stroked="false">
              <v:path arrowok="t"/>
              <v:fill opacity="0f" type="solid"/>
            </v:shape>
            <v:line style="position:absolute" from="990,415" to="11115,415" stroked="true" strokeweight="1pt" strokecolor="#00539e">
              <v:stroke dashstyle="solid"/>
            </v:line>
            <w10:wrap type="topAndBottom"/>
          </v:group>
        </w:pict>
      </w:r>
      <w:r>
        <w:rPr>
          <w:color w:val="00539E"/>
        </w:rPr>
        <w:t>Audit</w:t>
      </w:r>
      <w:r>
        <w:rPr>
          <w:color w:val="00539E"/>
          <w:spacing w:val="-3"/>
        </w:rPr>
        <w:t> </w:t>
      </w:r>
      <w:r>
        <w:rPr>
          <w:color w:val="00539E"/>
        </w:rPr>
        <w:t>Committee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134.25pt;height:1pt;mso-position-horizontal-relative:char;mso-position-vertical-relative:line" id="docshapegroup31" coordorigin="0,0" coordsize="2685,20">
            <v:shape style="position:absolute;left:0;top:10;width:2685;height:2" id="docshape32" coordorigin="0,10" coordsize="2685,0" path="m2685,10l0,10e" filled="true" fillcolor="#000000" stroked="false">
              <v:path arrowok="t"/>
              <v:fill opacity="0f" type="solid"/>
            </v:shape>
            <v:line style="position:absolute" from="0,10" to="2685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518" w:top="800" w:bottom="780" w:left="740" w:right="700"/>
        </w:sectPr>
      </w:pPr>
    </w:p>
    <w:p>
      <w:pPr>
        <w:pStyle w:val="BodyText"/>
        <w:spacing w:before="23"/>
        <w:ind w:left="302"/>
      </w:pPr>
      <w:r>
        <w:rPr/>
        <w:t>Members:</w:t>
      </w:r>
    </w:p>
    <w:p>
      <w:pPr>
        <w:pStyle w:val="Heading5"/>
        <w:spacing w:line="249" w:lineRule="auto" w:before="10"/>
        <w:ind w:left="302" w:right="33"/>
      </w:pPr>
      <w:r>
        <w:rPr/>
        <w:t>Philip</w:t>
      </w:r>
      <w:r>
        <w:rPr>
          <w:spacing w:val="-8"/>
        </w:rPr>
        <w:t> </w:t>
      </w:r>
      <w:r>
        <w:rPr/>
        <w:t>Calian</w:t>
      </w:r>
      <w:r>
        <w:rPr>
          <w:spacing w:val="-7"/>
        </w:rPr>
        <w:t> </w:t>
      </w:r>
      <w:r>
        <w:rPr/>
        <w:t>(Chair)</w:t>
      </w:r>
      <w:r>
        <w:rPr>
          <w:spacing w:val="-53"/>
        </w:rPr>
        <w:t> </w:t>
      </w:r>
      <w:r>
        <w:rPr/>
        <w:t>Derrick</w:t>
      </w:r>
      <w:r>
        <w:rPr>
          <w:spacing w:val="55"/>
        </w:rPr>
        <w:t> </w:t>
      </w:r>
      <w:r>
        <w:rPr/>
        <w:t>Burks</w:t>
      </w:r>
      <w:r>
        <w:rPr>
          <w:spacing w:val="1"/>
        </w:rPr>
        <w:t> </w:t>
      </w:r>
      <w:r>
        <w:rPr/>
        <w:t>David</w:t>
      </w:r>
      <w:r>
        <w:rPr>
          <w:spacing w:val="-2"/>
        </w:rPr>
        <w:t> </w:t>
      </w:r>
      <w:r>
        <w:rPr/>
        <w:t>Contis</w:t>
      </w:r>
    </w:p>
    <w:p>
      <w:pPr>
        <w:spacing w:before="2"/>
        <w:ind w:left="302" w:right="0" w:firstLine="0"/>
        <w:jc w:val="left"/>
        <w:rPr>
          <w:b/>
          <w:sz w:val="20"/>
        </w:rPr>
      </w:pPr>
      <w:r>
        <w:rPr>
          <w:b/>
          <w:sz w:val="20"/>
        </w:rPr>
        <w:t>Scott</w:t>
      </w:r>
      <w:r>
        <w:rPr>
          <w:b/>
          <w:spacing w:val="-9"/>
          <w:sz w:val="20"/>
        </w:rPr>
        <w:t> </w:t>
      </w:r>
      <w:r>
        <w:rPr>
          <w:b/>
          <w:sz w:val="20"/>
        </w:rPr>
        <w:t>Peppet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ind w:left="302"/>
      </w:pPr>
      <w:r>
        <w:rPr/>
        <w:pict>
          <v:group style="position:absolute;margin-left:49.5pt;margin-top:-2.150146pt;width:134.25pt;height:1pt;mso-position-horizontal-relative:page;mso-position-vertical-relative:paragraph;z-index:15745024" id="docshapegroup33" coordorigin="990,-43" coordsize="2685,20">
            <v:shape style="position:absolute;left:990;top:-33;width:2685;height:2" id="docshape34" coordorigin="990,-33" coordsize="2685,0" path="m3675,-33l990,-33e" filled="true" fillcolor="#000000" stroked="false">
              <v:path arrowok="t"/>
              <v:fill opacity="0f" type="solid"/>
            </v:shape>
            <v:line style="position:absolute" from="990,-33" to="3675,-33" stroked="true" strokeweight="1pt" strokecolor="#000000">
              <v:stroke dashstyle="solid"/>
            </v:line>
            <w10:wrap type="none"/>
          </v:group>
        </w:pict>
      </w:r>
      <w:r>
        <w:rPr/>
        <w:t>Meetings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2021:</w:t>
      </w:r>
      <w:r>
        <w:rPr>
          <w:spacing w:val="51"/>
        </w:rPr>
        <w:t> </w:t>
      </w:r>
      <w:r>
        <w:rPr/>
        <w:t>9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0" w:lineRule="auto" w:before="23" w:after="0"/>
        <w:ind w:left="662" w:right="0" w:hanging="361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pacing w:val="-1"/>
          <w:sz w:val="20"/>
        </w:rPr>
        <w:t>Engages</w:t>
      </w:r>
      <w:r>
        <w:rPr>
          <w:sz w:val="20"/>
        </w:rPr>
        <w:t> </w:t>
      </w:r>
      <w:r>
        <w:rPr>
          <w:spacing w:val="-1"/>
          <w:sz w:val="20"/>
        </w:rPr>
        <w:t>our</w:t>
      </w:r>
      <w:r>
        <w:rPr>
          <w:spacing w:val="1"/>
          <w:sz w:val="20"/>
        </w:rPr>
        <w:t> </w:t>
      </w:r>
      <w:r>
        <w:rPr>
          <w:spacing w:val="-1"/>
          <w:sz w:val="20"/>
        </w:rPr>
        <w:t>Independent</w:t>
      </w:r>
      <w:r>
        <w:rPr>
          <w:spacing w:val="-11"/>
          <w:sz w:val="20"/>
        </w:rPr>
        <w:t> </w:t>
      </w:r>
      <w:r>
        <w:rPr>
          <w:spacing w:val="-1"/>
          <w:sz w:val="20"/>
        </w:rPr>
        <w:t>Accountants.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9" w:lineRule="auto" w:before="70" w:after="0"/>
        <w:ind w:left="662" w:right="629" w:hanging="360"/>
        <w:jc w:val="left"/>
        <w:rPr>
          <w:sz w:val="20"/>
        </w:rPr>
      </w:pPr>
      <w:r>
        <w:rPr>
          <w:spacing w:val="-1"/>
          <w:sz w:val="20"/>
        </w:rPr>
        <w:t>Reviews with our Independent Accountants </w:t>
      </w:r>
      <w:r>
        <w:rPr>
          <w:sz w:val="20"/>
        </w:rPr>
        <w:t>the plans for and results of the</w:t>
      </w:r>
      <w:r>
        <w:rPr>
          <w:spacing w:val="-53"/>
          <w:sz w:val="20"/>
        </w:rPr>
        <w:t> </w:t>
      </w:r>
      <w:r>
        <w:rPr>
          <w:sz w:val="20"/>
        </w:rPr>
        <w:t>audit</w:t>
      </w:r>
      <w:r>
        <w:rPr>
          <w:spacing w:val="-2"/>
          <w:sz w:val="20"/>
        </w:rPr>
        <w:t> </w:t>
      </w:r>
      <w:r>
        <w:rPr>
          <w:sz w:val="20"/>
        </w:rPr>
        <w:t>engagement.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0" w:lineRule="auto" w:before="61" w:after="0"/>
        <w:ind w:left="662" w:right="0" w:hanging="361"/>
        <w:jc w:val="left"/>
        <w:rPr>
          <w:sz w:val="20"/>
        </w:rPr>
      </w:pPr>
      <w:r>
        <w:rPr>
          <w:spacing w:val="-1"/>
          <w:sz w:val="20"/>
        </w:rPr>
        <w:t>Approves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professional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services</w:t>
      </w:r>
      <w:r>
        <w:rPr>
          <w:spacing w:val="-3"/>
          <w:sz w:val="20"/>
        </w:rPr>
        <w:t> </w:t>
      </w:r>
      <w:r>
        <w:rPr>
          <w:sz w:val="20"/>
        </w:rPr>
        <w:t>provided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our</w:t>
      </w:r>
      <w:r>
        <w:rPr>
          <w:spacing w:val="-3"/>
          <w:sz w:val="20"/>
        </w:rPr>
        <w:t> </w:t>
      </w:r>
      <w:r>
        <w:rPr>
          <w:sz w:val="20"/>
        </w:rPr>
        <w:t>Independent</w:t>
      </w:r>
      <w:r>
        <w:rPr>
          <w:spacing w:val="-13"/>
          <w:sz w:val="20"/>
        </w:rPr>
        <w:t> </w:t>
      </w:r>
      <w:r>
        <w:rPr>
          <w:sz w:val="20"/>
        </w:rPr>
        <w:t>Accountants.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0" w:lineRule="auto" w:before="70" w:after="0"/>
        <w:ind w:left="662" w:right="0" w:hanging="361"/>
        <w:jc w:val="left"/>
        <w:rPr>
          <w:sz w:val="20"/>
        </w:rPr>
      </w:pPr>
      <w:r>
        <w:rPr>
          <w:spacing w:val="-1"/>
          <w:sz w:val="20"/>
        </w:rPr>
        <w:t>Reviews</w:t>
      </w:r>
      <w:r>
        <w:rPr>
          <w:spacing w:val="-4"/>
          <w:sz w:val="20"/>
        </w:rPr>
        <w:t> </w:t>
      </w:r>
      <w:r>
        <w:rPr>
          <w:spacing w:val="-1"/>
          <w:sz w:val="20"/>
        </w:rPr>
        <w:t>the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independence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our</w:t>
      </w:r>
      <w:r>
        <w:rPr>
          <w:spacing w:val="-3"/>
          <w:sz w:val="20"/>
        </w:rPr>
        <w:t> </w:t>
      </w:r>
      <w:r>
        <w:rPr>
          <w:sz w:val="20"/>
        </w:rPr>
        <w:t>Independent</w:t>
      </w:r>
      <w:r>
        <w:rPr>
          <w:spacing w:val="-14"/>
          <w:sz w:val="20"/>
        </w:rPr>
        <w:t> </w:t>
      </w:r>
      <w:r>
        <w:rPr>
          <w:sz w:val="20"/>
        </w:rPr>
        <w:t>Accountants.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9" w:lineRule="auto" w:before="70" w:after="0"/>
        <w:ind w:left="662" w:right="528" w:hanging="360"/>
        <w:jc w:val="left"/>
        <w:rPr>
          <w:sz w:val="20"/>
        </w:rPr>
      </w:pPr>
      <w:r>
        <w:rPr>
          <w:sz w:val="20"/>
        </w:rPr>
        <w:t>Reviews the adequacy of the Company’s internal accounting controls and</w:t>
      </w:r>
      <w:r>
        <w:rPr>
          <w:spacing w:val="1"/>
          <w:sz w:val="20"/>
        </w:rPr>
        <w:t> </w:t>
      </w:r>
      <w:r>
        <w:rPr>
          <w:sz w:val="20"/>
        </w:rPr>
        <w:t>accounting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reporting</w:t>
      </w:r>
      <w:r>
        <w:rPr>
          <w:spacing w:val="-5"/>
          <w:sz w:val="20"/>
        </w:rPr>
        <w:t> </w:t>
      </w:r>
      <w:r>
        <w:rPr>
          <w:sz w:val="20"/>
        </w:rPr>
        <w:t>practices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assesses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quality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integrity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2"/>
          <w:sz w:val="20"/>
        </w:rPr>
        <w:t> </w:t>
      </w:r>
      <w:r>
        <w:rPr>
          <w:sz w:val="20"/>
        </w:rPr>
        <w:t>our</w:t>
      </w:r>
      <w:r>
        <w:rPr>
          <w:spacing w:val="-2"/>
          <w:sz w:val="20"/>
        </w:rPr>
        <w:t> </w:t>
      </w:r>
      <w:r>
        <w:rPr>
          <w:sz w:val="20"/>
        </w:rPr>
        <w:t>audited</w:t>
      </w:r>
      <w:r>
        <w:rPr>
          <w:spacing w:val="-1"/>
          <w:sz w:val="20"/>
        </w:rPr>
        <w:t> </w:t>
      </w:r>
      <w:r>
        <w:rPr>
          <w:sz w:val="20"/>
        </w:rPr>
        <w:t>financial</w:t>
      </w:r>
      <w:r>
        <w:rPr>
          <w:spacing w:val="-1"/>
          <w:sz w:val="20"/>
        </w:rPr>
        <w:t> </w:t>
      </w:r>
      <w:r>
        <w:rPr>
          <w:sz w:val="20"/>
        </w:rPr>
        <w:t>statements.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9" w:lineRule="auto" w:before="63" w:after="0"/>
        <w:ind w:left="662" w:right="962" w:hanging="360"/>
        <w:jc w:val="left"/>
        <w:rPr>
          <w:sz w:val="20"/>
        </w:rPr>
      </w:pPr>
      <w:r>
        <w:rPr>
          <w:sz w:val="20"/>
        </w:rPr>
        <w:t>Establishes procedures for the processing of complaints received from</w:t>
      </w:r>
      <w:r>
        <w:rPr>
          <w:spacing w:val="-53"/>
          <w:sz w:val="20"/>
        </w:rPr>
        <w:t> </w:t>
      </w:r>
      <w:r>
        <w:rPr>
          <w:sz w:val="20"/>
        </w:rPr>
        <w:t>employees</w:t>
      </w:r>
      <w:r>
        <w:rPr>
          <w:spacing w:val="-7"/>
          <w:sz w:val="20"/>
        </w:rPr>
        <w:t> </w:t>
      </w:r>
      <w:r>
        <w:rPr>
          <w:sz w:val="20"/>
        </w:rPr>
        <w:t>regarding</w:t>
      </w:r>
      <w:r>
        <w:rPr>
          <w:spacing w:val="-6"/>
          <w:sz w:val="20"/>
        </w:rPr>
        <w:t> </w:t>
      </w:r>
      <w:r>
        <w:rPr>
          <w:sz w:val="20"/>
        </w:rPr>
        <w:t>internal</w:t>
      </w:r>
      <w:r>
        <w:rPr>
          <w:spacing w:val="-7"/>
          <w:sz w:val="20"/>
        </w:rPr>
        <w:t> </w:t>
      </w:r>
      <w:r>
        <w:rPr>
          <w:sz w:val="20"/>
        </w:rPr>
        <w:t>control,</w:t>
      </w:r>
      <w:r>
        <w:rPr>
          <w:spacing w:val="-6"/>
          <w:sz w:val="20"/>
        </w:rPr>
        <w:t> </w:t>
      </w:r>
      <w:r>
        <w:rPr>
          <w:sz w:val="20"/>
        </w:rPr>
        <w:t>accounting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auditing</w:t>
      </w:r>
      <w:r>
        <w:rPr>
          <w:spacing w:val="-7"/>
          <w:sz w:val="20"/>
        </w:rPr>
        <w:t> </w:t>
      </w:r>
      <w:r>
        <w:rPr>
          <w:sz w:val="20"/>
        </w:rPr>
        <w:t>matters.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9" w:lineRule="auto" w:before="62" w:after="0"/>
        <w:ind w:left="662" w:right="851" w:hanging="360"/>
        <w:jc w:val="left"/>
        <w:rPr>
          <w:sz w:val="20"/>
        </w:rPr>
      </w:pPr>
      <w:r>
        <w:rPr>
          <w:sz w:val="20"/>
        </w:rPr>
        <w:t>Reviews</w:t>
      </w:r>
      <w:r>
        <w:rPr>
          <w:spacing w:val="-5"/>
          <w:sz w:val="20"/>
        </w:rPr>
        <w:t> </w:t>
      </w:r>
      <w:r>
        <w:rPr>
          <w:sz w:val="20"/>
        </w:rPr>
        <w:t>policies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5"/>
          <w:sz w:val="20"/>
        </w:rPr>
        <w:t> </w:t>
      </w:r>
      <w:r>
        <w:rPr>
          <w:sz w:val="20"/>
        </w:rPr>
        <w:t>respect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risk</w:t>
      </w:r>
      <w:r>
        <w:rPr>
          <w:spacing w:val="-4"/>
          <w:sz w:val="20"/>
        </w:rPr>
        <w:t> </w:t>
      </w:r>
      <w:r>
        <w:rPr>
          <w:sz w:val="20"/>
        </w:rPr>
        <w:t>assessment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risk</w:t>
      </w:r>
      <w:r>
        <w:rPr>
          <w:spacing w:val="-5"/>
          <w:sz w:val="20"/>
        </w:rPr>
        <w:t> </w:t>
      </w:r>
      <w:r>
        <w:rPr>
          <w:sz w:val="20"/>
        </w:rPr>
        <w:t>management,</w:t>
      </w:r>
      <w:r>
        <w:rPr>
          <w:spacing w:val="-52"/>
          <w:sz w:val="20"/>
        </w:rPr>
        <w:t> </w:t>
      </w:r>
      <w:r>
        <w:rPr>
          <w:sz w:val="20"/>
        </w:rPr>
        <w:t>including, but not limited to, insurance coverage, interest rate risk</w:t>
      </w:r>
      <w:r>
        <w:rPr>
          <w:spacing w:val="1"/>
          <w:sz w:val="20"/>
        </w:rPr>
        <w:t> </w:t>
      </w:r>
      <w:r>
        <w:rPr>
          <w:sz w:val="20"/>
        </w:rPr>
        <w:t>management,</w:t>
      </w:r>
      <w:r>
        <w:rPr>
          <w:spacing w:val="-3"/>
          <w:sz w:val="20"/>
        </w:rPr>
        <w:t> </w:t>
      </w:r>
      <w:r>
        <w:rPr>
          <w:sz w:val="20"/>
        </w:rPr>
        <w:t>cyber</w:t>
      </w:r>
      <w:r>
        <w:rPr>
          <w:spacing w:val="-2"/>
          <w:sz w:val="20"/>
        </w:rPr>
        <w:t> </w:t>
      </w:r>
      <w:r>
        <w:rPr>
          <w:sz w:val="20"/>
        </w:rPr>
        <w:t>security,</w:t>
      </w:r>
      <w:r>
        <w:rPr>
          <w:spacing w:val="-2"/>
          <w:sz w:val="20"/>
        </w:rPr>
        <w:t> </w:t>
      </w:r>
      <w:r>
        <w:rPr>
          <w:sz w:val="20"/>
        </w:rPr>
        <w:t>human</w:t>
      </w:r>
      <w:r>
        <w:rPr>
          <w:spacing w:val="-2"/>
          <w:sz w:val="20"/>
        </w:rPr>
        <w:t> </w:t>
      </w:r>
      <w:r>
        <w:rPr>
          <w:sz w:val="20"/>
        </w:rPr>
        <w:t>rights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ESG.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0" w:lineRule="auto" w:before="62" w:after="0"/>
        <w:ind w:left="662" w:right="0" w:hanging="361"/>
        <w:jc w:val="left"/>
        <w:rPr>
          <w:sz w:val="20"/>
        </w:rPr>
      </w:pPr>
      <w:r>
        <w:rPr>
          <w:sz w:val="20"/>
        </w:rPr>
        <w:t>Reviews</w:t>
      </w:r>
      <w:r>
        <w:rPr>
          <w:spacing w:val="-6"/>
          <w:sz w:val="20"/>
        </w:rPr>
        <w:t> </w:t>
      </w:r>
      <w:r>
        <w:rPr>
          <w:sz w:val="20"/>
        </w:rPr>
        <w:t>compliance</w:t>
      </w:r>
      <w:r>
        <w:rPr>
          <w:spacing w:val="-6"/>
          <w:sz w:val="20"/>
        </w:rPr>
        <w:t> </w:t>
      </w:r>
      <w:r>
        <w:rPr>
          <w:sz w:val="20"/>
        </w:rPr>
        <w:t>with</w:t>
      </w:r>
      <w:r>
        <w:rPr>
          <w:spacing w:val="-6"/>
          <w:sz w:val="20"/>
        </w:rPr>
        <w:t> </w:t>
      </w:r>
      <w:r>
        <w:rPr>
          <w:sz w:val="20"/>
        </w:rPr>
        <w:t>financial,</w:t>
      </w:r>
      <w:r>
        <w:rPr>
          <w:spacing w:val="-6"/>
          <w:sz w:val="20"/>
        </w:rPr>
        <w:t> </w:t>
      </w:r>
      <w:r>
        <w:rPr>
          <w:sz w:val="20"/>
        </w:rPr>
        <w:t>legal,</w:t>
      </w:r>
      <w:r>
        <w:rPr>
          <w:spacing w:val="-6"/>
          <w:sz w:val="20"/>
        </w:rPr>
        <w:t> </w:t>
      </w:r>
      <w:r>
        <w:rPr>
          <w:sz w:val="20"/>
        </w:rPr>
        <w:t>tax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regulatory</w:t>
      </w:r>
      <w:r>
        <w:rPr>
          <w:spacing w:val="-6"/>
          <w:sz w:val="20"/>
        </w:rPr>
        <w:t> </w:t>
      </w:r>
      <w:r>
        <w:rPr>
          <w:sz w:val="20"/>
        </w:rPr>
        <w:t>requirements.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9" w:lineRule="auto" w:before="70" w:after="0"/>
        <w:ind w:left="662" w:right="984" w:hanging="360"/>
        <w:jc w:val="left"/>
        <w:rPr>
          <w:sz w:val="20"/>
        </w:rPr>
      </w:pPr>
      <w:r>
        <w:rPr>
          <w:sz w:val="20"/>
        </w:rPr>
        <w:t>All</w:t>
      </w:r>
      <w:r>
        <w:rPr>
          <w:spacing w:val="-6"/>
          <w:sz w:val="20"/>
        </w:rPr>
        <w:t> </w:t>
      </w:r>
      <w:r>
        <w:rPr>
          <w:sz w:val="20"/>
        </w:rPr>
        <w:t>members</w:t>
      </w:r>
      <w:r>
        <w:rPr>
          <w:spacing w:val="-6"/>
          <w:sz w:val="20"/>
        </w:rPr>
        <w:t> </w:t>
      </w:r>
      <w:r>
        <w:rPr>
          <w:sz w:val="20"/>
        </w:rPr>
        <w:t>meet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independence,</w:t>
      </w:r>
      <w:r>
        <w:rPr>
          <w:spacing w:val="-5"/>
          <w:sz w:val="20"/>
        </w:rPr>
        <w:t> </w:t>
      </w:r>
      <w:r>
        <w:rPr>
          <w:sz w:val="20"/>
        </w:rPr>
        <w:t>experience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financial</w:t>
      </w:r>
      <w:r>
        <w:rPr>
          <w:spacing w:val="-6"/>
          <w:sz w:val="20"/>
        </w:rPr>
        <w:t> </w:t>
      </w:r>
      <w:r>
        <w:rPr>
          <w:sz w:val="20"/>
        </w:rPr>
        <w:t>literacy</w:t>
      </w:r>
      <w:r>
        <w:rPr>
          <w:spacing w:val="-52"/>
          <w:sz w:val="20"/>
        </w:rPr>
        <w:t> </w:t>
      </w:r>
      <w:r>
        <w:rPr>
          <w:sz w:val="20"/>
        </w:rPr>
        <w:t>requirements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NYSE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Section</w:t>
      </w:r>
      <w:r>
        <w:rPr>
          <w:spacing w:val="-3"/>
          <w:sz w:val="20"/>
        </w:rPr>
        <w:t> </w:t>
      </w:r>
      <w:r>
        <w:rPr>
          <w:sz w:val="20"/>
        </w:rPr>
        <w:t>10A</w:t>
      </w:r>
      <w:r>
        <w:rPr>
          <w:spacing w:val="-13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Exchange</w:t>
      </w:r>
      <w:r>
        <w:rPr>
          <w:spacing w:val="-13"/>
          <w:sz w:val="20"/>
        </w:rPr>
        <w:t> </w:t>
      </w:r>
      <w:r>
        <w:rPr>
          <w:sz w:val="20"/>
        </w:rPr>
        <w:t>Act.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9" w:lineRule="auto" w:before="62" w:after="0"/>
        <w:ind w:left="662" w:right="925" w:hanging="360"/>
        <w:jc w:val="left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members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5"/>
          <w:sz w:val="20"/>
        </w:rPr>
        <w:t> </w:t>
      </w:r>
      <w:r>
        <w:rPr>
          <w:sz w:val="20"/>
        </w:rPr>
        <w:t>designated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Board</w:t>
      </w:r>
      <w:r>
        <w:rPr>
          <w:spacing w:val="-5"/>
          <w:sz w:val="20"/>
        </w:rPr>
        <w:t> </w:t>
      </w:r>
      <w:r>
        <w:rPr>
          <w:sz w:val="20"/>
        </w:rPr>
        <w:t>as</w:t>
      </w:r>
      <w:r>
        <w:rPr>
          <w:spacing w:val="-4"/>
          <w:sz w:val="20"/>
        </w:rPr>
        <w:t> </w:t>
      </w:r>
      <w:r>
        <w:rPr>
          <w:sz w:val="20"/>
        </w:rPr>
        <w:t>"audit</w:t>
      </w:r>
      <w:r>
        <w:rPr>
          <w:spacing w:val="-5"/>
          <w:sz w:val="20"/>
        </w:rPr>
        <w:t> </w:t>
      </w:r>
      <w:r>
        <w:rPr>
          <w:sz w:val="20"/>
        </w:rPr>
        <w:t>committee</w:t>
      </w:r>
      <w:r>
        <w:rPr>
          <w:spacing w:val="-4"/>
          <w:sz w:val="20"/>
        </w:rPr>
        <w:t> </w:t>
      </w:r>
      <w:r>
        <w:rPr>
          <w:sz w:val="20"/>
        </w:rPr>
        <w:t>financial</w:t>
      </w:r>
      <w:r>
        <w:rPr>
          <w:spacing w:val="-53"/>
          <w:sz w:val="20"/>
        </w:rPr>
        <w:t> </w:t>
      </w:r>
      <w:r>
        <w:rPr>
          <w:sz w:val="20"/>
        </w:rPr>
        <w:t>experts"</w:t>
      </w:r>
      <w:r>
        <w:rPr>
          <w:spacing w:val="-2"/>
          <w:sz w:val="20"/>
        </w:rPr>
        <w:t> </w:t>
      </w:r>
      <w:r>
        <w:rPr>
          <w:sz w:val="20"/>
        </w:rPr>
        <w:t>in</w:t>
      </w:r>
      <w:r>
        <w:rPr>
          <w:spacing w:val="-2"/>
          <w:sz w:val="20"/>
        </w:rPr>
        <w:t> </w:t>
      </w:r>
      <w:r>
        <w:rPr>
          <w:sz w:val="20"/>
        </w:rPr>
        <w:t>accordance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SEC</w:t>
      </w:r>
      <w:r>
        <w:rPr>
          <w:spacing w:val="-1"/>
          <w:sz w:val="20"/>
        </w:rPr>
        <w:t> </w:t>
      </w:r>
      <w:r>
        <w:rPr>
          <w:sz w:val="20"/>
        </w:rPr>
        <w:t>regulations.</w:t>
      </w:r>
    </w:p>
    <w:p>
      <w:pPr>
        <w:pStyle w:val="ListParagraph"/>
        <w:numPr>
          <w:ilvl w:val="0"/>
          <w:numId w:val="8"/>
        </w:numPr>
        <w:tabs>
          <w:tab w:pos="662" w:val="left" w:leader="none"/>
          <w:tab w:pos="663" w:val="left" w:leader="none"/>
        </w:tabs>
        <w:spacing w:line="240" w:lineRule="auto" w:before="61" w:after="0"/>
        <w:ind w:left="662" w:right="0" w:hanging="361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"Audit</w:t>
      </w:r>
      <w:r>
        <w:rPr>
          <w:spacing w:val="-5"/>
          <w:sz w:val="20"/>
        </w:rPr>
        <w:t> </w:t>
      </w:r>
      <w:r>
        <w:rPr>
          <w:sz w:val="20"/>
        </w:rPr>
        <w:t>Committee</w:t>
      </w:r>
      <w:r>
        <w:rPr>
          <w:spacing w:val="-5"/>
          <w:sz w:val="20"/>
        </w:rPr>
        <w:t> </w:t>
      </w:r>
      <w:r>
        <w:rPr>
          <w:sz w:val="20"/>
        </w:rPr>
        <w:t>Report"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5"/>
          <w:sz w:val="20"/>
        </w:rPr>
        <w:t> </w:t>
      </w:r>
      <w:r>
        <w:rPr>
          <w:sz w:val="20"/>
        </w:rPr>
        <w:t>included</w:t>
      </w:r>
      <w:r>
        <w:rPr>
          <w:spacing w:val="-5"/>
          <w:sz w:val="20"/>
        </w:rPr>
        <w:t> </w:t>
      </w:r>
      <w:r>
        <w:rPr>
          <w:sz w:val="20"/>
        </w:rPr>
        <w:t>herein.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18" w:top="860" w:bottom="280" w:left="740" w:right="700"/>
          <w:cols w:num="2" w:equalWidth="0">
            <w:col w:w="2241" w:space="699"/>
            <w:col w:w="7860"/>
          </w:cols>
        </w:sectPr>
      </w:pPr>
    </w:p>
    <w:p>
      <w:pPr>
        <w:pStyle w:val="BodyText"/>
      </w:pPr>
    </w:p>
    <w:p>
      <w:pPr>
        <w:pStyle w:val="Heading2"/>
        <w:spacing w:before="227"/>
        <w:ind w:left="302"/>
      </w:pPr>
      <w:r>
        <w:rPr/>
        <w:pict>
          <v:group style="position:absolute;margin-left:49.5pt;margin-top:27.625849pt;width:506.25pt;height:1pt;mso-position-horizontal-relative:page;mso-position-vertical-relative:paragraph;z-index:-15713280;mso-wrap-distance-left:0;mso-wrap-distance-right:0" id="docshapegroup35" coordorigin="990,553" coordsize="10125,20">
            <v:shape style="position:absolute;left:990;top:562;width:10125;height:2" id="docshape36" coordorigin="990,563" coordsize="10125,0" path="m11115,563l990,563e" filled="true" fillcolor="#000000" stroked="false">
              <v:path arrowok="t"/>
              <v:fill opacity="0f" type="solid"/>
            </v:shape>
            <v:line style="position:absolute" from="990,563" to="11115,563" stroked="true" strokeweight="1pt" strokecolor="#00539e">
              <v:stroke dashstyle="solid"/>
            </v:line>
            <w10:wrap type="topAndBottom"/>
          </v:group>
        </w:pict>
      </w:r>
      <w:r>
        <w:rPr>
          <w:color w:val="00539E"/>
        </w:rPr>
        <w:t>Compensation,</w:t>
      </w:r>
      <w:r>
        <w:rPr>
          <w:color w:val="00539E"/>
          <w:spacing w:val="-4"/>
        </w:rPr>
        <w:t> </w:t>
      </w:r>
      <w:r>
        <w:rPr>
          <w:color w:val="00539E"/>
        </w:rPr>
        <w:t>Nominating</w:t>
      </w:r>
      <w:r>
        <w:rPr>
          <w:color w:val="00539E"/>
          <w:spacing w:val="-4"/>
        </w:rPr>
        <w:t> </w:t>
      </w:r>
      <w:r>
        <w:rPr>
          <w:color w:val="00539E"/>
        </w:rPr>
        <w:t>and</w:t>
      </w:r>
      <w:r>
        <w:rPr>
          <w:color w:val="00539E"/>
          <w:spacing w:val="-3"/>
        </w:rPr>
        <w:t> </w:t>
      </w:r>
      <w:r>
        <w:rPr>
          <w:color w:val="00539E"/>
        </w:rPr>
        <w:t>Corporate</w:t>
      </w:r>
      <w:r>
        <w:rPr>
          <w:color w:val="00539E"/>
          <w:spacing w:val="-4"/>
        </w:rPr>
        <w:t> </w:t>
      </w:r>
      <w:r>
        <w:rPr>
          <w:color w:val="00539E"/>
        </w:rPr>
        <w:t>Governance</w:t>
      </w:r>
      <w:r>
        <w:rPr>
          <w:color w:val="00539E"/>
          <w:spacing w:val="-3"/>
        </w:rPr>
        <w:t> </w:t>
      </w:r>
      <w:r>
        <w:rPr>
          <w:color w:val="00539E"/>
        </w:rPr>
        <w:t>Committee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134.25pt;height:1pt;mso-position-horizontal-relative:char;mso-position-vertical-relative:line" id="docshapegroup37" coordorigin="0,0" coordsize="2685,20">
            <v:shape style="position:absolute;left:0;top:10;width:2685;height:2" id="docshape38" coordorigin="0,10" coordsize="2685,0" path="m2685,10l0,10e" filled="true" fillcolor="#000000" stroked="false">
              <v:path arrowok="t"/>
              <v:fill opacity="0f" type="solid"/>
            </v:shape>
            <v:line style="position:absolute" from="0,10" to="2685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type w:val="continuous"/>
          <w:pgSz w:w="12240" w:h="15840"/>
          <w:pgMar w:header="0" w:footer="518" w:top="860" w:bottom="280" w:left="740" w:right="700"/>
        </w:sectPr>
      </w:pPr>
    </w:p>
    <w:p>
      <w:pPr>
        <w:pStyle w:val="BodyText"/>
        <w:spacing w:line="215" w:lineRule="exact" w:before="23"/>
        <w:ind w:left="302"/>
      </w:pPr>
      <w:r>
        <w:rPr/>
        <w:t>Members:</w:t>
      </w:r>
    </w:p>
    <w:p>
      <w:pPr>
        <w:pStyle w:val="Heading5"/>
        <w:spacing w:line="208" w:lineRule="auto" w:before="9"/>
        <w:ind w:left="302" w:right="20"/>
      </w:pPr>
      <w:r>
        <w:rPr/>
        <w:t>David Contis (Chair)</w:t>
      </w:r>
      <w:r>
        <w:rPr>
          <w:spacing w:val="1"/>
        </w:rPr>
        <w:t> </w:t>
      </w:r>
      <w:r>
        <w:rPr/>
        <w:t>Philip Calian</w:t>
      </w:r>
      <w:r>
        <w:rPr>
          <w:spacing w:val="1"/>
        </w:rPr>
        <w:t> </w:t>
      </w:r>
      <w:r>
        <w:rPr/>
        <w:t>Constance Freedman</w:t>
      </w:r>
      <w:r>
        <w:rPr>
          <w:spacing w:val="-54"/>
        </w:rPr>
        <w:t> </w:t>
      </w:r>
      <w:r>
        <w:rPr/>
        <w:t>Sheli</w:t>
      </w:r>
      <w:r>
        <w:rPr>
          <w:spacing w:val="-3"/>
        </w:rPr>
        <w:t> </w:t>
      </w:r>
      <w:r>
        <w:rPr/>
        <w:t>Rosenberg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ind w:left="302"/>
      </w:pPr>
      <w:r>
        <w:rPr/>
        <w:pict>
          <v:group style="position:absolute;margin-left:49.5pt;margin-top:-2.150116pt;width:134.25pt;height:1pt;mso-position-horizontal-relative:page;mso-position-vertical-relative:paragraph;z-index:15745536" id="docshapegroup39" coordorigin="990,-43" coordsize="2685,20">
            <v:shape style="position:absolute;left:990;top:-33;width:2685;height:2" id="docshape40" coordorigin="990,-33" coordsize="2685,0" path="m3675,-33l990,-33e" filled="true" fillcolor="#000000" stroked="false">
              <v:path arrowok="t"/>
              <v:fill opacity="0f" type="solid"/>
            </v:shape>
            <v:line style="position:absolute" from="990,-33" to="3675,-33" stroked="true" strokeweight="1pt" strokecolor="#000000">
              <v:stroke dashstyle="solid"/>
            </v:line>
            <w10:wrap type="none"/>
          </v:group>
        </w:pict>
      </w:r>
      <w:r>
        <w:rPr/>
        <w:t>Meetings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2021:</w:t>
      </w:r>
      <w:r>
        <w:rPr>
          <w:spacing w:val="51"/>
        </w:rPr>
        <w:t> </w:t>
      </w:r>
      <w:r>
        <w:rPr/>
        <w:t>5</w:t>
      </w:r>
    </w:p>
    <w:p>
      <w:pPr>
        <w:pStyle w:val="ListParagraph"/>
        <w:numPr>
          <w:ilvl w:val="0"/>
          <w:numId w:val="10"/>
        </w:numPr>
        <w:tabs>
          <w:tab w:pos="662" w:val="left" w:leader="none"/>
          <w:tab w:pos="663" w:val="left" w:leader="none"/>
        </w:tabs>
        <w:spacing w:line="249" w:lineRule="auto" w:before="23" w:after="0"/>
        <w:ind w:left="662" w:right="774" w:hanging="360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Determines</w:t>
      </w:r>
      <w:r>
        <w:rPr>
          <w:spacing w:val="-5"/>
          <w:sz w:val="20"/>
        </w:rPr>
        <w:t> </w:t>
      </w:r>
      <w:r>
        <w:rPr>
          <w:sz w:val="20"/>
        </w:rPr>
        <w:t>compensation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5"/>
          <w:sz w:val="20"/>
        </w:rPr>
        <w:t> </w:t>
      </w:r>
      <w:r>
        <w:rPr>
          <w:sz w:val="20"/>
        </w:rPr>
        <w:t>our</w:t>
      </w:r>
      <w:r>
        <w:rPr>
          <w:spacing w:val="-4"/>
          <w:sz w:val="20"/>
        </w:rPr>
        <w:t> </w:t>
      </w:r>
      <w:r>
        <w:rPr>
          <w:sz w:val="20"/>
        </w:rPr>
        <w:t>NEOs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exercises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powers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2"/>
          <w:sz w:val="20"/>
        </w:rPr>
        <w:t> </w:t>
      </w:r>
      <w:r>
        <w:rPr>
          <w:sz w:val="20"/>
        </w:rPr>
        <w:t>Board in connection with compensation matters, including incentive</w:t>
      </w:r>
      <w:r>
        <w:rPr>
          <w:spacing w:val="1"/>
          <w:sz w:val="20"/>
        </w:rPr>
        <w:t> </w:t>
      </w:r>
      <w:r>
        <w:rPr>
          <w:sz w:val="20"/>
        </w:rPr>
        <w:t>compensation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1"/>
          <w:sz w:val="20"/>
        </w:rPr>
        <w:t> </w:t>
      </w:r>
      <w:r>
        <w:rPr>
          <w:sz w:val="20"/>
        </w:rPr>
        <w:t>benefit</w:t>
      </w:r>
      <w:r>
        <w:rPr>
          <w:spacing w:val="-1"/>
          <w:sz w:val="20"/>
        </w:rPr>
        <w:t> </w:t>
      </w:r>
      <w:r>
        <w:rPr>
          <w:sz w:val="20"/>
        </w:rPr>
        <w:t>plans.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9" w:lineRule="auto" w:before="62" w:after="0"/>
        <w:ind w:left="662" w:right="828" w:hanging="360"/>
        <w:jc w:val="left"/>
        <w:rPr>
          <w:sz w:val="20"/>
        </w:rPr>
      </w:pPr>
      <w:r>
        <w:rPr>
          <w:sz w:val="20"/>
        </w:rPr>
        <w:t>Receives</w:t>
      </w:r>
      <w:r>
        <w:rPr>
          <w:spacing w:val="-7"/>
          <w:sz w:val="20"/>
        </w:rPr>
        <w:t> </w:t>
      </w:r>
      <w:r>
        <w:rPr>
          <w:sz w:val="20"/>
        </w:rPr>
        <w:t>recommendations</w:t>
      </w:r>
      <w:r>
        <w:rPr>
          <w:spacing w:val="-7"/>
          <w:sz w:val="20"/>
        </w:rPr>
        <w:t> </w:t>
      </w:r>
      <w:r>
        <w:rPr>
          <w:sz w:val="20"/>
        </w:rPr>
        <w:t>regarding</w:t>
      </w:r>
      <w:r>
        <w:rPr>
          <w:spacing w:val="-6"/>
          <w:sz w:val="20"/>
        </w:rPr>
        <w:t> </w:t>
      </w:r>
      <w:r>
        <w:rPr>
          <w:sz w:val="20"/>
        </w:rPr>
        <w:t>executive</w:t>
      </w:r>
      <w:r>
        <w:rPr>
          <w:spacing w:val="-7"/>
          <w:sz w:val="20"/>
        </w:rPr>
        <w:t> </w:t>
      </w:r>
      <w:r>
        <w:rPr>
          <w:sz w:val="20"/>
        </w:rPr>
        <w:t>compensation</w:t>
      </w:r>
      <w:r>
        <w:rPr>
          <w:spacing w:val="-6"/>
          <w:sz w:val="20"/>
        </w:rPr>
        <w:t> </w:t>
      </w:r>
      <w:r>
        <w:rPr>
          <w:sz w:val="20"/>
        </w:rPr>
        <w:t>from</w:t>
      </w:r>
      <w:r>
        <w:rPr>
          <w:spacing w:val="-7"/>
          <w:sz w:val="20"/>
        </w:rPr>
        <w:t> </w:t>
      </w:r>
      <w:r>
        <w:rPr>
          <w:sz w:val="20"/>
        </w:rPr>
        <w:t>our</w:t>
      </w:r>
      <w:r>
        <w:rPr>
          <w:spacing w:val="-53"/>
          <w:sz w:val="20"/>
        </w:rPr>
        <w:t> </w:t>
      </w:r>
      <w:r>
        <w:rPr>
          <w:sz w:val="20"/>
        </w:rPr>
        <w:t>CEO and considers these recommendations in determining appropriate</w:t>
      </w:r>
      <w:r>
        <w:rPr>
          <w:spacing w:val="1"/>
          <w:sz w:val="20"/>
        </w:rPr>
        <w:t> </w:t>
      </w:r>
      <w:r>
        <w:rPr>
          <w:sz w:val="20"/>
        </w:rPr>
        <w:t>compensation</w:t>
      </w:r>
      <w:r>
        <w:rPr>
          <w:spacing w:val="-2"/>
          <w:sz w:val="20"/>
        </w:rPr>
        <w:t> </w:t>
      </w:r>
      <w:r>
        <w:rPr>
          <w:sz w:val="20"/>
        </w:rPr>
        <w:t>plans.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9" w:lineRule="auto" w:before="63" w:after="0"/>
        <w:ind w:left="662" w:right="1418" w:hanging="360"/>
        <w:jc w:val="left"/>
        <w:rPr>
          <w:sz w:val="20"/>
        </w:rPr>
      </w:pPr>
      <w:r>
        <w:rPr>
          <w:sz w:val="20"/>
        </w:rPr>
        <w:t>Does</w:t>
      </w:r>
      <w:r>
        <w:rPr>
          <w:spacing w:val="-6"/>
          <w:sz w:val="20"/>
        </w:rPr>
        <w:t> </w:t>
      </w:r>
      <w:r>
        <w:rPr>
          <w:sz w:val="20"/>
        </w:rPr>
        <w:t>not</w:t>
      </w:r>
      <w:r>
        <w:rPr>
          <w:spacing w:val="-5"/>
          <w:sz w:val="20"/>
        </w:rPr>
        <w:t> </w:t>
      </w:r>
      <w:r>
        <w:rPr>
          <w:sz w:val="20"/>
        </w:rPr>
        <w:t>delegate</w:t>
      </w:r>
      <w:r>
        <w:rPr>
          <w:spacing w:val="-5"/>
          <w:sz w:val="20"/>
        </w:rPr>
        <w:t> </w:t>
      </w:r>
      <w:r>
        <w:rPr>
          <w:sz w:val="20"/>
        </w:rPr>
        <w:t>its</w:t>
      </w:r>
      <w:r>
        <w:rPr>
          <w:spacing w:val="-5"/>
          <w:sz w:val="20"/>
        </w:rPr>
        <w:t> </w:t>
      </w:r>
      <w:r>
        <w:rPr>
          <w:sz w:val="20"/>
        </w:rPr>
        <w:t>authority</w:t>
      </w:r>
      <w:r>
        <w:rPr>
          <w:spacing w:val="-5"/>
          <w:sz w:val="20"/>
        </w:rPr>
        <w:t> </w:t>
      </w:r>
      <w:r>
        <w:rPr>
          <w:sz w:val="20"/>
        </w:rPr>
        <w:t>in</w:t>
      </w:r>
      <w:r>
        <w:rPr>
          <w:spacing w:val="-5"/>
          <w:sz w:val="20"/>
        </w:rPr>
        <w:t> </w:t>
      </w:r>
      <w:r>
        <w:rPr>
          <w:sz w:val="20"/>
        </w:rPr>
        <w:t>regard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establishing</w:t>
      </w:r>
      <w:r>
        <w:rPr>
          <w:spacing w:val="-5"/>
          <w:sz w:val="20"/>
        </w:rPr>
        <w:t> </w:t>
      </w:r>
      <w:r>
        <w:rPr>
          <w:sz w:val="20"/>
        </w:rPr>
        <w:t>executive</w:t>
      </w:r>
      <w:r>
        <w:rPr>
          <w:spacing w:val="-53"/>
          <w:sz w:val="20"/>
        </w:rPr>
        <w:t> </w:t>
      </w:r>
      <w:r>
        <w:rPr>
          <w:sz w:val="20"/>
        </w:rPr>
        <w:t>compensation.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9" w:lineRule="auto" w:before="61" w:after="0"/>
        <w:ind w:left="662" w:right="806" w:hanging="360"/>
        <w:jc w:val="left"/>
        <w:rPr>
          <w:sz w:val="20"/>
        </w:rPr>
      </w:pPr>
      <w:r>
        <w:rPr>
          <w:sz w:val="20"/>
        </w:rPr>
        <w:t>Authorizes</w:t>
      </w:r>
      <w:r>
        <w:rPr>
          <w:spacing w:val="-6"/>
          <w:sz w:val="20"/>
        </w:rPr>
        <w:t> </w:t>
      </w:r>
      <w:r>
        <w:rPr>
          <w:sz w:val="20"/>
        </w:rPr>
        <w:t>grants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stock</w:t>
      </w:r>
      <w:r>
        <w:rPr>
          <w:spacing w:val="-5"/>
          <w:sz w:val="20"/>
        </w:rPr>
        <w:t> </w:t>
      </w:r>
      <w:r>
        <w:rPr>
          <w:sz w:val="20"/>
        </w:rPr>
        <w:t>awards</w:t>
      </w:r>
      <w:r>
        <w:rPr>
          <w:spacing w:val="-5"/>
          <w:sz w:val="20"/>
        </w:rPr>
        <w:t> </w:t>
      </w:r>
      <w:r>
        <w:rPr>
          <w:sz w:val="20"/>
        </w:rPr>
        <w:t>under</w:t>
      </w:r>
      <w:r>
        <w:rPr>
          <w:spacing w:val="-5"/>
          <w:sz w:val="20"/>
        </w:rPr>
        <w:t> </w:t>
      </w:r>
      <w:r>
        <w:rPr>
          <w:sz w:val="20"/>
        </w:rPr>
        <w:t>our</w:t>
      </w:r>
      <w:r>
        <w:rPr>
          <w:spacing w:val="-5"/>
          <w:sz w:val="20"/>
        </w:rPr>
        <w:t> </w:t>
      </w:r>
      <w:r>
        <w:rPr>
          <w:sz w:val="20"/>
        </w:rPr>
        <w:t>equity</w:t>
      </w:r>
      <w:r>
        <w:rPr>
          <w:spacing w:val="-6"/>
          <w:sz w:val="20"/>
        </w:rPr>
        <w:t> </w:t>
      </w:r>
      <w:r>
        <w:rPr>
          <w:sz w:val="20"/>
        </w:rPr>
        <w:t>compensation</w:t>
      </w:r>
      <w:r>
        <w:rPr>
          <w:spacing w:val="-5"/>
          <w:sz w:val="20"/>
        </w:rPr>
        <w:t> </w:t>
      </w:r>
      <w:r>
        <w:rPr>
          <w:sz w:val="20"/>
        </w:rPr>
        <w:t>plans,</w:t>
      </w:r>
      <w:r>
        <w:rPr>
          <w:spacing w:val="-52"/>
          <w:sz w:val="20"/>
        </w:rPr>
        <w:t> </w:t>
      </w:r>
      <w:r>
        <w:rPr>
          <w:sz w:val="20"/>
        </w:rPr>
        <w:t>such</w:t>
      </w:r>
      <w:r>
        <w:rPr>
          <w:spacing w:val="-2"/>
          <w:sz w:val="20"/>
        </w:rPr>
        <w:t> </w:t>
      </w:r>
      <w:r>
        <w:rPr>
          <w:sz w:val="20"/>
        </w:rPr>
        <w:t>as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2014</w:t>
      </w:r>
      <w:r>
        <w:rPr>
          <w:spacing w:val="-1"/>
          <w:sz w:val="20"/>
        </w:rPr>
        <w:t> </w:t>
      </w:r>
      <w:r>
        <w:rPr>
          <w:sz w:val="20"/>
        </w:rPr>
        <w:t>Equity</w:t>
      </w:r>
      <w:r>
        <w:rPr>
          <w:spacing w:val="-1"/>
          <w:sz w:val="20"/>
        </w:rPr>
        <w:t> </w:t>
      </w:r>
      <w:r>
        <w:rPr>
          <w:sz w:val="20"/>
        </w:rPr>
        <w:t>Incentive</w:t>
      </w:r>
      <w:r>
        <w:rPr>
          <w:spacing w:val="-2"/>
          <w:sz w:val="20"/>
        </w:rPr>
        <w:t> </w:t>
      </w:r>
      <w:r>
        <w:rPr>
          <w:sz w:val="20"/>
        </w:rPr>
        <w:t>Plan.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9" w:lineRule="auto" w:before="62" w:after="0"/>
        <w:ind w:left="662" w:right="729" w:hanging="360"/>
        <w:jc w:val="left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stock</w:t>
      </w:r>
      <w:r>
        <w:rPr>
          <w:spacing w:val="-4"/>
          <w:sz w:val="20"/>
        </w:rPr>
        <w:t> </w:t>
      </w:r>
      <w:r>
        <w:rPr>
          <w:sz w:val="20"/>
        </w:rPr>
        <w:t>award</w:t>
      </w:r>
      <w:r>
        <w:rPr>
          <w:spacing w:val="-5"/>
          <w:sz w:val="20"/>
        </w:rPr>
        <w:t> </w:t>
      </w:r>
      <w:r>
        <w:rPr>
          <w:sz w:val="20"/>
        </w:rPr>
        <w:t>grants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independent</w:t>
      </w:r>
      <w:r>
        <w:rPr>
          <w:spacing w:val="-4"/>
          <w:sz w:val="20"/>
        </w:rPr>
        <w:t> </w:t>
      </w:r>
      <w:r>
        <w:rPr>
          <w:sz w:val="20"/>
        </w:rPr>
        <w:t>Directors</w:t>
      </w:r>
      <w:r>
        <w:rPr>
          <w:spacing w:val="-4"/>
          <w:sz w:val="20"/>
        </w:rPr>
        <w:t> </w:t>
      </w:r>
      <w:r>
        <w:rPr>
          <w:sz w:val="20"/>
        </w:rPr>
        <w:t>are</w:t>
      </w:r>
      <w:r>
        <w:rPr>
          <w:spacing w:val="-5"/>
          <w:sz w:val="20"/>
        </w:rPr>
        <w:t> </w:t>
      </w:r>
      <w:r>
        <w:rPr>
          <w:sz w:val="20"/>
        </w:rPr>
        <w:t>recommended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2"/>
          <w:sz w:val="20"/>
        </w:rPr>
        <w:t> </w:t>
      </w:r>
      <w:r>
        <w:rPr>
          <w:sz w:val="20"/>
        </w:rPr>
        <w:t>Compensation</w:t>
      </w:r>
      <w:r>
        <w:rPr>
          <w:spacing w:val="-2"/>
          <w:sz w:val="20"/>
        </w:rPr>
        <w:t> </w:t>
      </w:r>
      <w:r>
        <w:rPr>
          <w:sz w:val="20"/>
        </w:rPr>
        <w:t>Committee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approved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Board.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9" w:lineRule="auto" w:before="62" w:after="0"/>
        <w:ind w:left="662" w:right="540" w:hanging="360"/>
        <w:jc w:val="left"/>
        <w:rPr>
          <w:sz w:val="20"/>
        </w:rPr>
      </w:pPr>
      <w:r>
        <w:rPr>
          <w:sz w:val="20"/>
        </w:rPr>
        <w:t>Develops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recommends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Board</w:t>
      </w:r>
      <w:r>
        <w:rPr>
          <w:spacing w:val="-4"/>
          <w:sz w:val="20"/>
        </w:rPr>
        <w:t> </w:t>
      </w:r>
      <w:r>
        <w:rPr>
          <w:sz w:val="20"/>
        </w:rPr>
        <w:t>succession</w:t>
      </w:r>
      <w:r>
        <w:rPr>
          <w:spacing w:val="-4"/>
          <w:sz w:val="20"/>
        </w:rPr>
        <w:t> </w:t>
      </w:r>
      <w:r>
        <w:rPr>
          <w:sz w:val="20"/>
        </w:rPr>
        <w:t>plans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CEO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53"/>
          <w:sz w:val="20"/>
        </w:rPr>
        <w:t> </w:t>
      </w:r>
      <w:r>
        <w:rPr>
          <w:sz w:val="20"/>
        </w:rPr>
        <w:t>other</w:t>
      </w:r>
      <w:r>
        <w:rPr>
          <w:spacing w:val="-2"/>
          <w:sz w:val="20"/>
        </w:rPr>
        <w:t> </w:t>
      </w:r>
      <w:r>
        <w:rPr>
          <w:sz w:val="20"/>
        </w:rPr>
        <w:t>senior</w:t>
      </w:r>
      <w:r>
        <w:rPr>
          <w:spacing w:val="-1"/>
          <w:sz w:val="20"/>
        </w:rPr>
        <w:t> </w:t>
      </w:r>
      <w:r>
        <w:rPr>
          <w:sz w:val="20"/>
        </w:rPr>
        <w:t>executive</w:t>
      </w:r>
      <w:r>
        <w:rPr>
          <w:spacing w:val="-1"/>
          <w:sz w:val="20"/>
        </w:rPr>
        <w:t> </w:t>
      </w:r>
      <w:r>
        <w:rPr>
          <w:sz w:val="20"/>
        </w:rPr>
        <w:t>officers.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0" w:lineRule="auto" w:before="61" w:after="0"/>
        <w:ind w:left="662" w:right="0" w:hanging="361"/>
        <w:jc w:val="left"/>
        <w:rPr>
          <w:sz w:val="20"/>
        </w:rPr>
      </w:pPr>
      <w:r>
        <w:rPr>
          <w:sz w:val="20"/>
        </w:rPr>
        <w:t>Identifies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recommends</w:t>
      </w:r>
      <w:r>
        <w:rPr>
          <w:spacing w:val="-6"/>
          <w:sz w:val="20"/>
        </w:rPr>
        <w:t> </w:t>
      </w:r>
      <w:r>
        <w:rPr>
          <w:sz w:val="20"/>
        </w:rPr>
        <w:t>qualified</w:t>
      </w:r>
      <w:r>
        <w:rPr>
          <w:spacing w:val="-6"/>
          <w:sz w:val="20"/>
        </w:rPr>
        <w:t> </w:t>
      </w:r>
      <w:r>
        <w:rPr>
          <w:sz w:val="20"/>
        </w:rPr>
        <w:t>individuals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6"/>
          <w:sz w:val="20"/>
        </w:rPr>
        <w:t> </w:t>
      </w:r>
      <w:r>
        <w:rPr>
          <w:sz w:val="20"/>
        </w:rPr>
        <w:t>become</w:t>
      </w:r>
      <w:r>
        <w:rPr>
          <w:spacing w:val="-6"/>
          <w:sz w:val="20"/>
        </w:rPr>
        <w:t> </w:t>
      </w:r>
      <w:r>
        <w:rPr>
          <w:sz w:val="20"/>
        </w:rPr>
        <w:t>Directors.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9" w:lineRule="auto" w:before="70" w:after="0"/>
        <w:ind w:left="662" w:right="1061" w:hanging="360"/>
        <w:jc w:val="left"/>
        <w:rPr>
          <w:sz w:val="20"/>
        </w:rPr>
      </w:pPr>
      <w:r>
        <w:rPr>
          <w:sz w:val="20"/>
        </w:rPr>
        <w:t>Develops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6"/>
          <w:sz w:val="20"/>
        </w:rPr>
        <w:t> </w:t>
      </w:r>
      <w:r>
        <w:rPr>
          <w:sz w:val="20"/>
        </w:rPr>
        <w:t>recommends</w:t>
      </w:r>
      <w:r>
        <w:rPr>
          <w:spacing w:val="-6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Guidelines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6"/>
          <w:sz w:val="20"/>
        </w:rPr>
        <w:t> </w:t>
      </w:r>
      <w:r>
        <w:rPr>
          <w:sz w:val="20"/>
        </w:rPr>
        <w:t>Corporate</w:t>
      </w:r>
      <w:r>
        <w:rPr>
          <w:spacing w:val="-6"/>
          <w:sz w:val="20"/>
        </w:rPr>
        <w:t> </w:t>
      </w:r>
      <w:r>
        <w:rPr>
          <w:sz w:val="20"/>
        </w:rPr>
        <w:t>Governance</w:t>
      </w:r>
      <w:r>
        <w:rPr>
          <w:spacing w:val="-52"/>
          <w:sz w:val="20"/>
        </w:rPr>
        <w:t> </w:t>
      </w:r>
      <w:r>
        <w:rPr>
          <w:sz w:val="20"/>
        </w:rPr>
        <w:t>applicable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Company.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0" w:lineRule="auto" w:before="62" w:after="0"/>
        <w:ind w:left="662" w:right="0" w:hanging="361"/>
        <w:jc w:val="left"/>
        <w:rPr>
          <w:sz w:val="20"/>
        </w:rPr>
      </w:pPr>
      <w:r>
        <w:rPr>
          <w:sz w:val="20"/>
        </w:rPr>
        <w:t>Reviews</w:t>
      </w:r>
      <w:r>
        <w:rPr>
          <w:spacing w:val="-9"/>
          <w:sz w:val="20"/>
        </w:rPr>
        <w:t> </w:t>
      </w:r>
      <w:r>
        <w:rPr>
          <w:sz w:val="20"/>
        </w:rPr>
        <w:t>ESG</w:t>
      </w:r>
      <w:r>
        <w:rPr>
          <w:spacing w:val="-8"/>
          <w:sz w:val="20"/>
        </w:rPr>
        <w:t> </w:t>
      </w:r>
      <w:r>
        <w:rPr>
          <w:sz w:val="20"/>
        </w:rPr>
        <w:t>strategy,</w:t>
      </w:r>
      <w:r>
        <w:rPr>
          <w:spacing w:val="-8"/>
          <w:sz w:val="20"/>
        </w:rPr>
        <w:t> </w:t>
      </w:r>
      <w:r>
        <w:rPr>
          <w:sz w:val="20"/>
        </w:rPr>
        <w:t>initiatives</w:t>
      </w:r>
      <w:r>
        <w:rPr>
          <w:spacing w:val="-8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policies.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9" w:lineRule="auto" w:before="70" w:after="0"/>
        <w:ind w:left="662" w:right="829" w:hanging="360"/>
        <w:jc w:val="left"/>
        <w:rPr>
          <w:sz w:val="20"/>
        </w:rPr>
      </w:pPr>
      <w:r>
        <w:rPr>
          <w:sz w:val="20"/>
        </w:rPr>
        <w:t>Recommends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Board</w:t>
      </w:r>
      <w:r>
        <w:rPr>
          <w:spacing w:val="-4"/>
          <w:sz w:val="20"/>
        </w:rPr>
        <w:t> </w:t>
      </w:r>
      <w:r>
        <w:rPr>
          <w:sz w:val="20"/>
        </w:rPr>
        <w:t>Director</w:t>
      </w:r>
      <w:r>
        <w:rPr>
          <w:spacing w:val="-5"/>
          <w:sz w:val="20"/>
        </w:rPr>
        <w:t> </w:t>
      </w:r>
      <w:r>
        <w:rPr>
          <w:sz w:val="20"/>
        </w:rPr>
        <w:t>nominees</w:t>
      </w:r>
      <w:r>
        <w:rPr>
          <w:spacing w:val="-4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each</w:t>
      </w:r>
      <w:r>
        <w:rPr>
          <w:spacing w:val="-4"/>
          <w:sz w:val="20"/>
        </w:rPr>
        <w:t> </w:t>
      </w:r>
      <w:r>
        <w:rPr>
          <w:sz w:val="20"/>
        </w:rPr>
        <w:t>committee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2"/>
          <w:sz w:val="20"/>
        </w:rPr>
        <w:t> </w:t>
      </w:r>
      <w:r>
        <w:rPr>
          <w:sz w:val="20"/>
        </w:rPr>
        <w:t>Board.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0" w:lineRule="auto" w:before="62" w:after="0"/>
        <w:ind w:left="662" w:right="0" w:hanging="361"/>
        <w:jc w:val="left"/>
        <w:rPr>
          <w:sz w:val="20"/>
        </w:rPr>
      </w:pPr>
      <w:r>
        <w:rPr>
          <w:sz w:val="20"/>
        </w:rPr>
        <w:t>Directs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Board</w:t>
      </w:r>
      <w:r>
        <w:rPr>
          <w:spacing w:val="-4"/>
          <w:sz w:val="20"/>
        </w:rPr>
        <w:t> </w:t>
      </w:r>
      <w:r>
        <w:rPr>
          <w:sz w:val="20"/>
        </w:rPr>
        <w:t>in</w:t>
      </w:r>
      <w:r>
        <w:rPr>
          <w:spacing w:val="-4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annual</w:t>
      </w:r>
      <w:r>
        <w:rPr>
          <w:spacing w:val="-4"/>
          <w:sz w:val="20"/>
        </w:rPr>
        <w:t> </w:t>
      </w:r>
      <w:r>
        <w:rPr>
          <w:sz w:val="20"/>
        </w:rPr>
        <w:t>review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its</w:t>
      </w:r>
      <w:r>
        <w:rPr>
          <w:spacing w:val="-4"/>
          <w:sz w:val="20"/>
        </w:rPr>
        <w:t> </w:t>
      </w:r>
      <w:r>
        <w:rPr>
          <w:sz w:val="20"/>
        </w:rPr>
        <w:t>performance.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0" w:lineRule="auto" w:before="70" w:after="0"/>
        <w:ind w:left="662" w:right="0" w:hanging="361"/>
        <w:jc w:val="left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members</w:t>
      </w:r>
      <w:r>
        <w:rPr>
          <w:spacing w:val="-5"/>
          <w:sz w:val="20"/>
        </w:rPr>
        <w:t> </w:t>
      </w:r>
      <w:r>
        <w:rPr>
          <w:sz w:val="20"/>
        </w:rPr>
        <w:t>meet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independence</w:t>
      </w:r>
      <w:r>
        <w:rPr>
          <w:spacing w:val="-5"/>
          <w:sz w:val="20"/>
        </w:rPr>
        <w:t> </w:t>
      </w:r>
      <w:r>
        <w:rPr>
          <w:sz w:val="20"/>
        </w:rPr>
        <w:t>requirements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NYSE.</w:t>
      </w:r>
    </w:p>
    <w:p>
      <w:pPr>
        <w:pStyle w:val="ListParagraph"/>
        <w:numPr>
          <w:ilvl w:val="0"/>
          <w:numId w:val="11"/>
        </w:numPr>
        <w:tabs>
          <w:tab w:pos="662" w:val="left" w:leader="none"/>
          <w:tab w:pos="663" w:val="left" w:leader="none"/>
        </w:tabs>
        <w:spacing w:line="240" w:lineRule="auto" w:before="70" w:after="0"/>
        <w:ind w:left="662" w:right="0" w:hanging="361"/>
        <w:jc w:val="left"/>
        <w:rPr>
          <w:sz w:val="20"/>
        </w:rPr>
      </w:pP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"Compensation</w:t>
      </w:r>
      <w:r>
        <w:rPr>
          <w:spacing w:val="-6"/>
          <w:sz w:val="20"/>
        </w:rPr>
        <w:t> </w:t>
      </w:r>
      <w:r>
        <w:rPr>
          <w:sz w:val="20"/>
        </w:rPr>
        <w:t>Committee</w:t>
      </w:r>
      <w:r>
        <w:rPr>
          <w:spacing w:val="-6"/>
          <w:sz w:val="20"/>
        </w:rPr>
        <w:t> </w:t>
      </w:r>
      <w:r>
        <w:rPr>
          <w:sz w:val="20"/>
        </w:rPr>
        <w:t>Report"</w:t>
      </w:r>
      <w:r>
        <w:rPr>
          <w:spacing w:val="-6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included</w:t>
      </w:r>
      <w:r>
        <w:rPr>
          <w:spacing w:val="-6"/>
          <w:sz w:val="20"/>
        </w:rPr>
        <w:t> </w:t>
      </w:r>
      <w:r>
        <w:rPr>
          <w:sz w:val="20"/>
        </w:rPr>
        <w:t>herein.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18" w:top="860" w:bottom="280" w:left="740" w:right="700"/>
          <w:cols w:num="2" w:equalWidth="0">
            <w:col w:w="2376" w:space="564"/>
            <w:col w:w="7860"/>
          </w:cols>
        </w:sectPr>
      </w:pPr>
    </w:p>
    <w:p>
      <w:pPr>
        <w:pStyle w:val="Heading2"/>
        <w:spacing w:before="79"/>
        <w:ind w:left="302"/>
      </w:pPr>
      <w:r>
        <w:rPr/>
        <w:pict>
          <v:group style="position:absolute;margin-left:49.5pt;margin-top:20.22588pt;width:506.25pt;height:1pt;mso-position-horizontal-relative:page;mso-position-vertical-relative:paragraph;z-index:-15711232;mso-wrap-distance-left:0;mso-wrap-distance-right:0" id="docshapegroup41" coordorigin="990,405" coordsize="10125,20">
            <v:shape style="position:absolute;left:990;top:414;width:10125;height:2" id="docshape42" coordorigin="990,415" coordsize="10125,0" path="m11115,415l990,415e" filled="true" fillcolor="#000000" stroked="false">
              <v:path arrowok="t"/>
              <v:fill opacity="0f" type="solid"/>
            </v:shape>
            <v:line style="position:absolute" from="990,415" to="11115,415" stroked="true" strokeweight="1pt" strokecolor="#00539e">
              <v:stroke dashstyle="solid"/>
            </v:line>
            <w10:wrap type="topAndBottom"/>
          </v:group>
        </w:pict>
      </w:r>
      <w:r>
        <w:rPr>
          <w:color w:val="00539E"/>
        </w:rPr>
        <w:t>Strategic</w:t>
      </w:r>
      <w:r>
        <w:rPr>
          <w:color w:val="00539E"/>
          <w:spacing w:val="-3"/>
        </w:rPr>
        <w:t> </w:t>
      </w:r>
      <w:r>
        <w:rPr>
          <w:color w:val="00539E"/>
        </w:rPr>
        <w:t>Planning</w:t>
      </w:r>
      <w:r>
        <w:rPr>
          <w:color w:val="00539E"/>
          <w:spacing w:val="-2"/>
        </w:rPr>
        <w:t> </w:t>
      </w:r>
      <w:r>
        <w:rPr>
          <w:color w:val="00539E"/>
        </w:rPr>
        <w:t>Committee</w:t>
      </w:r>
    </w:p>
    <w:p>
      <w:pPr>
        <w:pStyle w:val="BodyText"/>
        <w:spacing w:before="6"/>
        <w:rPr>
          <w:b/>
          <w:sz w:val="29"/>
        </w:rPr>
      </w:pP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134.25pt;height:1pt;mso-position-horizontal-relative:char;mso-position-vertical-relative:line" id="docshapegroup43" coordorigin="0,0" coordsize="2685,20">
            <v:shape style="position:absolute;left:0;top:10;width:2685;height:2" id="docshape44" coordorigin="0,10" coordsize="2685,0" path="m2685,10l0,10e" filled="true" fillcolor="#000000" stroked="false">
              <v:path arrowok="t"/>
              <v:fill opacity="0f" type="solid"/>
            </v:shape>
            <v:line style="position:absolute" from="0,10" to="2685,10" stroked="true" strokeweight="1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after="0" w:line="20" w:lineRule="exact"/>
        <w:rPr>
          <w:sz w:val="2"/>
        </w:rPr>
        <w:sectPr>
          <w:pgSz w:w="12240" w:h="15840"/>
          <w:pgMar w:header="0" w:footer="518" w:top="800" w:bottom="780" w:left="740" w:right="700"/>
        </w:sectPr>
      </w:pPr>
    </w:p>
    <w:p>
      <w:pPr>
        <w:pStyle w:val="BodyText"/>
        <w:spacing w:before="23"/>
        <w:ind w:left="302"/>
      </w:pPr>
      <w:r>
        <w:rPr/>
        <w:t>Members:</w:t>
      </w:r>
    </w:p>
    <w:p>
      <w:pPr>
        <w:pStyle w:val="Heading5"/>
        <w:spacing w:line="249" w:lineRule="auto" w:before="10"/>
        <w:ind w:left="302" w:right="35"/>
      </w:pPr>
      <w:r>
        <w:rPr/>
        <w:t>Thomas</w:t>
      </w:r>
      <w:r>
        <w:rPr>
          <w:spacing w:val="-9"/>
        </w:rPr>
        <w:t> </w:t>
      </w:r>
      <w:r>
        <w:rPr/>
        <w:t>Heneghan</w:t>
      </w:r>
      <w:r>
        <w:rPr>
          <w:spacing w:val="-8"/>
        </w:rPr>
        <w:t> </w:t>
      </w:r>
      <w:r>
        <w:rPr/>
        <w:t>(Chair)</w:t>
      </w:r>
      <w:r>
        <w:rPr>
          <w:spacing w:val="-52"/>
        </w:rPr>
        <w:t> </w:t>
      </w:r>
      <w:r>
        <w:rPr/>
        <w:t>Andrew Berkenfield</w:t>
      </w:r>
      <w:r>
        <w:rPr>
          <w:spacing w:val="1"/>
        </w:rPr>
        <w:t> </w:t>
      </w:r>
      <w:r>
        <w:rPr/>
        <w:t>Constance Freedman</w:t>
      </w:r>
      <w:r>
        <w:rPr>
          <w:spacing w:val="1"/>
        </w:rPr>
        <w:t> </w:t>
      </w:r>
      <w:r>
        <w:rPr/>
        <w:t>Scott</w:t>
      </w:r>
      <w:r>
        <w:rPr>
          <w:spacing w:val="-2"/>
        </w:rPr>
        <w:t> </w:t>
      </w:r>
      <w:r>
        <w:rPr/>
        <w:t>Peppet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pStyle w:val="BodyText"/>
        <w:spacing w:before="1"/>
        <w:ind w:left="302"/>
      </w:pPr>
      <w:r>
        <w:rPr/>
        <w:pict>
          <v:group style="position:absolute;margin-left:49.5pt;margin-top:-2.100147pt;width:134.25pt;height:1pt;mso-position-horizontal-relative:page;mso-position-vertical-relative:paragraph;z-index:15747072" id="docshapegroup45" coordorigin="990,-42" coordsize="2685,20">
            <v:shape style="position:absolute;left:990;top:-32;width:2685;height:2" id="docshape46" coordorigin="990,-32" coordsize="2685,0" path="m3675,-32l990,-32e" filled="true" fillcolor="#000000" stroked="false">
              <v:path arrowok="t"/>
              <v:fill opacity="0f" type="solid"/>
            </v:shape>
            <v:line style="position:absolute" from="990,-32" to="3675,-32" stroked="true" strokeweight="1pt" strokecolor="#000000">
              <v:stroke dashstyle="solid"/>
            </v:line>
            <w10:wrap type="none"/>
          </v:group>
        </w:pict>
      </w:r>
      <w:r>
        <w:rPr/>
        <w:t>Meetings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2021:</w:t>
      </w:r>
      <w:r>
        <w:rPr>
          <w:spacing w:val="51"/>
        </w:rPr>
        <w:t> </w:t>
      </w:r>
      <w:r>
        <w:rPr/>
        <w:t>4</w:t>
      </w:r>
    </w:p>
    <w:p>
      <w:pPr>
        <w:pStyle w:val="ListParagraph"/>
        <w:numPr>
          <w:ilvl w:val="0"/>
          <w:numId w:val="12"/>
        </w:numPr>
        <w:tabs>
          <w:tab w:pos="662" w:val="left" w:leader="none"/>
          <w:tab w:pos="663" w:val="left" w:leader="none"/>
        </w:tabs>
        <w:spacing w:line="249" w:lineRule="auto" w:before="23" w:after="0"/>
        <w:ind w:left="662" w:right="1108" w:hanging="360"/>
        <w:jc w:val="left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Sets</w:t>
      </w:r>
      <w:r>
        <w:rPr>
          <w:spacing w:val="-5"/>
          <w:sz w:val="20"/>
        </w:rPr>
        <w:t> </w:t>
      </w:r>
      <w:r>
        <w:rPr>
          <w:sz w:val="20"/>
        </w:rPr>
        <w:t>specific</w:t>
      </w:r>
      <w:r>
        <w:rPr>
          <w:spacing w:val="-4"/>
          <w:sz w:val="20"/>
        </w:rPr>
        <w:t> </w:t>
      </w:r>
      <w:r>
        <w:rPr>
          <w:sz w:val="20"/>
        </w:rPr>
        <w:t>broad</w:t>
      </w:r>
      <w:r>
        <w:rPr>
          <w:spacing w:val="-4"/>
          <w:sz w:val="20"/>
        </w:rPr>
        <w:t> </w:t>
      </w:r>
      <w:r>
        <w:rPr>
          <w:sz w:val="20"/>
        </w:rPr>
        <w:t>strategic</w:t>
      </w:r>
      <w:r>
        <w:rPr>
          <w:spacing w:val="-4"/>
          <w:sz w:val="20"/>
        </w:rPr>
        <w:t> </w:t>
      </w:r>
      <w:r>
        <w:rPr>
          <w:sz w:val="20"/>
        </w:rPr>
        <w:t>goals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executive</w:t>
      </w:r>
      <w:r>
        <w:rPr>
          <w:spacing w:val="-4"/>
          <w:sz w:val="20"/>
        </w:rPr>
        <w:t> </w:t>
      </w:r>
      <w:r>
        <w:rPr>
          <w:sz w:val="20"/>
        </w:rPr>
        <w:t>team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5"/>
          <w:sz w:val="20"/>
        </w:rPr>
        <w:t> </w:t>
      </w:r>
      <w:r>
        <w:rPr>
          <w:sz w:val="20"/>
        </w:rPr>
        <w:t>are</w:t>
      </w:r>
      <w:r>
        <w:rPr>
          <w:spacing w:val="-4"/>
          <w:sz w:val="20"/>
        </w:rPr>
        <w:t> </w:t>
      </w:r>
      <w:r>
        <w:rPr>
          <w:sz w:val="20"/>
        </w:rPr>
        <w:t>re-</w:t>
      </w:r>
      <w:r>
        <w:rPr>
          <w:spacing w:val="-52"/>
          <w:sz w:val="20"/>
        </w:rPr>
        <w:t> </w:t>
      </w:r>
      <w:r>
        <w:rPr>
          <w:sz w:val="20"/>
        </w:rPr>
        <w:t>assessed</w:t>
      </w:r>
      <w:r>
        <w:rPr>
          <w:spacing w:val="-2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an</w:t>
      </w:r>
      <w:r>
        <w:rPr>
          <w:spacing w:val="-1"/>
          <w:sz w:val="20"/>
        </w:rPr>
        <w:t> </w:t>
      </w:r>
      <w:r>
        <w:rPr>
          <w:sz w:val="20"/>
        </w:rPr>
        <w:t>annual</w:t>
      </w:r>
      <w:r>
        <w:rPr>
          <w:spacing w:val="-1"/>
          <w:sz w:val="20"/>
        </w:rPr>
        <w:t> </w:t>
      </w:r>
      <w:r>
        <w:rPr>
          <w:sz w:val="20"/>
        </w:rPr>
        <w:t>basis.</w:t>
      </w:r>
    </w:p>
    <w:p>
      <w:pPr>
        <w:pStyle w:val="ListParagraph"/>
        <w:numPr>
          <w:ilvl w:val="0"/>
          <w:numId w:val="13"/>
        </w:numPr>
        <w:tabs>
          <w:tab w:pos="662" w:val="left" w:leader="none"/>
          <w:tab w:pos="663" w:val="left" w:leader="none"/>
        </w:tabs>
        <w:spacing w:line="249" w:lineRule="auto" w:before="61" w:after="0"/>
        <w:ind w:left="662" w:right="785" w:hanging="360"/>
        <w:jc w:val="left"/>
        <w:rPr>
          <w:sz w:val="20"/>
        </w:rPr>
      </w:pPr>
      <w:r>
        <w:rPr>
          <w:sz w:val="20"/>
        </w:rPr>
        <w:t>Meets</w:t>
      </w:r>
      <w:r>
        <w:rPr>
          <w:spacing w:val="-5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executive</w:t>
      </w:r>
      <w:r>
        <w:rPr>
          <w:spacing w:val="-4"/>
          <w:sz w:val="20"/>
        </w:rPr>
        <w:t> </w:t>
      </w:r>
      <w:r>
        <w:rPr>
          <w:sz w:val="20"/>
        </w:rPr>
        <w:t>team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discuss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4"/>
          <w:sz w:val="20"/>
        </w:rPr>
        <w:t> </w:t>
      </w:r>
      <w:r>
        <w:rPr>
          <w:sz w:val="20"/>
        </w:rPr>
        <w:t>evaluate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progress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52"/>
          <w:sz w:val="20"/>
        </w:rPr>
        <w:t> </w:t>
      </w:r>
      <w:r>
        <w:rPr>
          <w:sz w:val="20"/>
        </w:rPr>
        <w:t>respect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1"/>
          <w:sz w:val="20"/>
        </w:rPr>
        <w:t> </w:t>
      </w:r>
      <w:r>
        <w:rPr>
          <w:sz w:val="20"/>
        </w:rPr>
        <w:t>these</w:t>
      </w:r>
      <w:r>
        <w:rPr>
          <w:spacing w:val="-1"/>
          <w:sz w:val="20"/>
        </w:rPr>
        <w:t> </w:t>
      </w:r>
      <w:r>
        <w:rPr>
          <w:sz w:val="20"/>
        </w:rPr>
        <w:t>strategic</w:t>
      </w:r>
      <w:r>
        <w:rPr>
          <w:spacing w:val="-1"/>
          <w:sz w:val="20"/>
        </w:rPr>
        <w:t> </w:t>
      </w:r>
      <w:r>
        <w:rPr>
          <w:sz w:val="20"/>
        </w:rPr>
        <w:t>goals.</w:t>
      </w:r>
    </w:p>
    <w:p>
      <w:pPr>
        <w:pStyle w:val="ListParagraph"/>
        <w:numPr>
          <w:ilvl w:val="0"/>
          <w:numId w:val="13"/>
        </w:numPr>
        <w:tabs>
          <w:tab w:pos="662" w:val="left" w:leader="none"/>
          <w:tab w:pos="663" w:val="left" w:leader="none"/>
        </w:tabs>
        <w:spacing w:line="240" w:lineRule="auto" w:before="62" w:after="0"/>
        <w:ind w:left="662" w:right="0" w:hanging="361"/>
        <w:jc w:val="left"/>
        <w:rPr>
          <w:sz w:val="20"/>
        </w:rPr>
      </w:pPr>
      <w:r>
        <w:rPr>
          <w:sz w:val="20"/>
        </w:rPr>
        <w:t>Reviews</w:t>
      </w:r>
      <w:r>
        <w:rPr>
          <w:spacing w:val="-6"/>
          <w:sz w:val="20"/>
        </w:rPr>
        <w:t> </w:t>
      </w:r>
      <w:r>
        <w:rPr>
          <w:sz w:val="20"/>
        </w:rPr>
        <w:t>strategy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progress</w:t>
      </w:r>
      <w:r>
        <w:rPr>
          <w:spacing w:val="-5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initiatives</w:t>
      </w:r>
      <w:r>
        <w:rPr>
          <w:spacing w:val="-5"/>
          <w:sz w:val="20"/>
        </w:rPr>
        <w:t> </w:t>
      </w:r>
      <w:r>
        <w:rPr>
          <w:sz w:val="20"/>
        </w:rPr>
        <w:t>related</w:t>
      </w:r>
      <w:r>
        <w:rPr>
          <w:spacing w:val="-5"/>
          <w:sz w:val="20"/>
        </w:rPr>
        <w:t> </w:t>
      </w:r>
      <w:r>
        <w:rPr>
          <w:sz w:val="20"/>
        </w:rPr>
        <w:t>to:</w:t>
      </w:r>
    </w:p>
    <w:p>
      <w:pPr>
        <w:pStyle w:val="ListParagraph"/>
        <w:numPr>
          <w:ilvl w:val="1"/>
          <w:numId w:val="13"/>
        </w:numPr>
        <w:tabs>
          <w:tab w:pos="1382" w:val="left" w:leader="none"/>
          <w:tab w:pos="1383" w:val="left" w:leader="none"/>
        </w:tabs>
        <w:spacing w:line="240" w:lineRule="auto" w:before="70" w:after="0"/>
        <w:ind w:left="1382" w:right="0" w:hanging="361"/>
        <w:jc w:val="left"/>
        <w:rPr>
          <w:sz w:val="20"/>
        </w:rPr>
      </w:pPr>
      <w:r>
        <w:rPr>
          <w:sz w:val="20"/>
        </w:rPr>
        <w:t>technology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7"/>
          <w:sz w:val="20"/>
        </w:rPr>
        <w:t> </w:t>
      </w:r>
      <w:r>
        <w:rPr>
          <w:sz w:val="20"/>
        </w:rPr>
        <w:t>innovation;</w:t>
      </w:r>
    </w:p>
    <w:p>
      <w:pPr>
        <w:pStyle w:val="ListParagraph"/>
        <w:numPr>
          <w:ilvl w:val="1"/>
          <w:numId w:val="13"/>
        </w:numPr>
        <w:tabs>
          <w:tab w:pos="1382" w:val="left" w:leader="none"/>
          <w:tab w:pos="1383" w:val="left" w:leader="none"/>
        </w:tabs>
        <w:spacing w:line="240" w:lineRule="auto" w:before="70" w:after="0"/>
        <w:ind w:left="1382" w:right="0" w:hanging="361"/>
        <w:jc w:val="left"/>
        <w:rPr>
          <w:sz w:val="20"/>
        </w:rPr>
      </w:pPr>
      <w:r>
        <w:rPr>
          <w:sz w:val="20"/>
        </w:rPr>
        <w:t>capital</w:t>
      </w:r>
      <w:r>
        <w:rPr>
          <w:spacing w:val="-8"/>
          <w:sz w:val="20"/>
        </w:rPr>
        <w:t> </w:t>
      </w:r>
      <w:r>
        <w:rPr>
          <w:sz w:val="20"/>
        </w:rPr>
        <w:t>planning,</w:t>
      </w:r>
      <w:r>
        <w:rPr>
          <w:spacing w:val="-7"/>
          <w:sz w:val="20"/>
        </w:rPr>
        <w:t> </w:t>
      </w:r>
      <w:r>
        <w:rPr>
          <w:sz w:val="20"/>
        </w:rPr>
        <w:t>development,</w:t>
      </w:r>
      <w:r>
        <w:rPr>
          <w:spacing w:val="-8"/>
          <w:sz w:val="20"/>
        </w:rPr>
        <w:t> </w:t>
      </w:r>
      <w:r>
        <w:rPr>
          <w:sz w:val="20"/>
        </w:rPr>
        <w:t>acquisitions</w:t>
      </w:r>
      <w:r>
        <w:rPr>
          <w:spacing w:val="-7"/>
          <w:sz w:val="20"/>
        </w:rPr>
        <w:t> </w:t>
      </w:r>
      <w:r>
        <w:rPr>
          <w:sz w:val="20"/>
        </w:rPr>
        <w:t>and</w:t>
      </w:r>
      <w:r>
        <w:rPr>
          <w:spacing w:val="-8"/>
          <w:sz w:val="20"/>
        </w:rPr>
        <w:t> </w:t>
      </w:r>
      <w:r>
        <w:rPr>
          <w:sz w:val="20"/>
        </w:rPr>
        <w:t>investments;</w:t>
      </w:r>
    </w:p>
    <w:p>
      <w:pPr>
        <w:pStyle w:val="ListParagraph"/>
        <w:numPr>
          <w:ilvl w:val="1"/>
          <w:numId w:val="13"/>
        </w:numPr>
        <w:tabs>
          <w:tab w:pos="1382" w:val="left" w:leader="none"/>
          <w:tab w:pos="1383" w:val="left" w:leader="none"/>
        </w:tabs>
        <w:spacing w:line="240" w:lineRule="auto" w:before="70" w:after="0"/>
        <w:ind w:left="1382" w:right="0" w:hanging="361"/>
        <w:jc w:val="left"/>
        <w:rPr>
          <w:sz w:val="20"/>
        </w:rPr>
      </w:pPr>
      <w:r>
        <w:rPr>
          <w:sz w:val="20"/>
        </w:rPr>
        <w:t>utilities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energy;</w:t>
      </w:r>
    </w:p>
    <w:p>
      <w:pPr>
        <w:pStyle w:val="ListParagraph"/>
        <w:numPr>
          <w:ilvl w:val="1"/>
          <w:numId w:val="13"/>
        </w:numPr>
        <w:tabs>
          <w:tab w:pos="1382" w:val="left" w:leader="none"/>
          <w:tab w:pos="1383" w:val="left" w:leader="none"/>
        </w:tabs>
        <w:spacing w:line="240" w:lineRule="auto" w:before="70" w:after="0"/>
        <w:ind w:left="1382" w:right="0" w:hanging="361"/>
        <w:jc w:val="left"/>
        <w:rPr>
          <w:sz w:val="20"/>
        </w:rPr>
      </w:pPr>
      <w:r>
        <w:rPr>
          <w:sz w:val="20"/>
        </w:rPr>
        <w:t>legal</w:t>
      </w:r>
      <w:r>
        <w:rPr>
          <w:spacing w:val="-7"/>
          <w:sz w:val="20"/>
        </w:rPr>
        <w:t> </w:t>
      </w:r>
      <w:r>
        <w:rPr>
          <w:sz w:val="20"/>
        </w:rPr>
        <w:t>proceedings;</w:t>
      </w:r>
    </w:p>
    <w:p>
      <w:pPr>
        <w:pStyle w:val="ListParagraph"/>
        <w:numPr>
          <w:ilvl w:val="1"/>
          <w:numId w:val="13"/>
        </w:numPr>
        <w:tabs>
          <w:tab w:pos="1382" w:val="left" w:leader="none"/>
          <w:tab w:pos="1383" w:val="left" w:leader="none"/>
        </w:tabs>
        <w:spacing w:line="240" w:lineRule="auto" w:before="70" w:after="0"/>
        <w:ind w:left="1382" w:right="0" w:hanging="361"/>
        <w:jc w:val="left"/>
        <w:rPr>
          <w:sz w:val="20"/>
        </w:rPr>
      </w:pPr>
      <w:r>
        <w:rPr>
          <w:sz w:val="20"/>
        </w:rPr>
        <w:t>property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casualty</w:t>
      </w:r>
      <w:r>
        <w:rPr>
          <w:spacing w:val="-5"/>
          <w:sz w:val="20"/>
        </w:rPr>
        <w:t> </w:t>
      </w:r>
      <w:r>
        <w:rPr>
          <w:sz w:val="20"/>
        </w:rPr>
        <w:t>insurance;</w:t>
      </w:r>
    </w:p>
    <w:p>
      <w:pPr>
        <w:pStyle w:val="ListParagraph"/>
        <w:numPr>
          <w:ilvl w:val="1"/>
          <w:numId w:val="13"/>
        </w:numPr>
        <w:tabs>
          <w:tab w:pos="1382" w:val="left" w:leader="none"/>
          <w:tab w:pos="1383" w:val="left" w:leader="none"/>
        </w:tabs>
        <w:spacing w:line="240" w:lineRule="auto" w:before="70" w:after="0"/>
        <w:ind w:left="1382" w:right="0" w:hanging="361"/>
        <w:jc w:val="left"/>
        <w:rPr>
          <w:sz w:val="20"/>
        </w:rPr>
      </w:pPr>
      <w:r>
        <w:rPr>
          <w:sz w:val="20"/>
        </w:rPr>
        <w:t>ESG;</w:t>
      </w:r>
      <w:r>
        <w:rPr>
          <w:spacing w:val="-4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1"/>
          <w:numId w:val="13"/>
        </w:numPr>
        <w:tabs>
          <w:tab w:pos="1382" w:val="left" w:leader="none"/>
          <w:tab w:pos="1383" w:val="left" w:leader="none"/>
        </w:tabs>
        <w:spacing w:line="249" w:lineRule="auto" w:before="70" w:after="0"/>
        <w:ind w:left="1382" w:right="976" w:hanging="360"/>
        <w:jc w:val="left"/>
        <w:rPr>
          <w:sz w:val="20"/>
        </w:rPr>
      </w:pPr>
      <w:r>
        <w:rPr>
          <w:sz w:val="20"/>
        </w:rPr>
        <w:t>any</w:t>
      </w:r>
      <w:r>
        <w:rPr>
          <w:spacing w:val="-4"/>
          <w:sz w:val="20"/>
        </w:rPr>
        <w:t> </w:t>
      </w:r>
      <w:r>
        <w:rPr>
          <w:sz w:val="20"/>
        </w:rPr>
        <w:t>other</w:t>
      </w:r>
      <w:r>
        <w:rPr>
          <w:spacing w:val="-4"/>
          <w:sz w:val="20"/>
        </w:rPr>
        <w:t> </w:t>
      </w:r>
      <w:r>
        <w:rPr>
          <w:sz w:val="20"/>
        </w:rPr>
        <w:t>matters</w:t>
      </w:r>
      <w:r>
        <w:rPr>
          <w:spacing w:val="-4"/>
          <w:sz w:val="20"/>
        </w:rPr>
        <w:t> </w:t>
      </w:r>
      <w:r>
        <w:rPr>
          <w:sz w:val="20"/>
        </w:rPr>
        <w:t>which</w:t>
      </w:r>
      <w:r>
        <w:rPr>
          <w:spacing w:val="-4"/>
          <w:sz w:val="20"/>
        </w:rPr>
        <w:t> </w:t>
      </w:r>
      <w:r>
        <w:rPr>
          <w:sz w:val="20"/>
        </w:rPr>
        <w:t>may</w:t>
      </w:r>
      <w:r>
        <w:rPr>
          <w:spacing w:val="-4"/>
          <w:sz w:val="20"/>
        </w:rPr>
        <w:t> </w:t>
      </w:r>
      <w:r>
        <w:rPr>
          <w:sz w:val="20"/>
        </w:rPr>
        <w:t>impact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overall</w:t>
      </w:r>
      <w:r>
        <w:rPr>
          <w:spacing w:val="-4"/>
          <w:sz w:val="20"/>
        </w:rPr>
        <w:t> </w:t>
      </w:r>
      <w:r>
        <w:rPr>
          <w:sz w:val="20"/>
        </w:rPr>
        <w:t>strategy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3"/>
          <w:sz w:val="20"/>
        </w:rPr>
        <w:t> </w:t>
      </w:r>
      <w:r>
        <w:rPr>
          <w:sz w:val="20"/>
        </w:rPr>
        <w:t>Company.</w:t>
      </w:r>
    </w:p>
    <w:p>
      <w:pPr>
        <w:pStyle w:val="ListParagraph"/>
        <w:numPr>
          <w:ilvl w:val="0"/>
          <w:numId w:val="13"/>
        </w:numPr>
        <w:tabs>
          <w:tab w:pos="662" w:val="left" w:leader="none"/>
          <w:tab w:pos="663" w:val="left" w:leader="none"/>
        </w:tabs>
        <w:spacing w:line="240" w:lineRule="auto" w:before="62" w:after="0"/>
        <w:ind w:left="662" w:right="0" w:hanging="361"/>
        <w:jc w:val="left"/>
        <w:rPr>
          <w:sz w:val="20"/>
        </w:rPr>
      </w:pP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members</w:t>
      </w:r>
      <w:r>
        <w:rPr>
          <w:spacing w:val="-5"/>
          <w:sz w:val="20"/>
        </w:rPr>
        <w:t> </w:t>
      </w:r>
      <w:r>
        <w:rPr>
          <w:sz w:val="20"/>
        </w:rPr>
        <w:t>meet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4"/>
          <w:sz w:val="20"/>
        </w:rPr>
        <w:t> </w:t>
      </w:r>
      <w:r>
        <w:rPr>
          <w:sz w:val="20"/>
        </w:rPr>
        <w:t>independence</w:t>
      </w:r>
      <w:r>
        <w:rPr>
          <w:spacing w:val="-5"/>
          <w:sz w:val="20"/>
        </w:rPr>
        <w:t> </w:t>
      </w:r>
      <w:r>
        <w:rPr>
          <w:sz w:val="20"/>
        </w:rPr>
        <w:t>requirements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NYSE.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2240" w:h="15840"/>
          <w:pgMar w:header="0" w:footer="518" w:top="860" w:bottom="280" w:left="740" w:right="700"/>
          <w:cols w:num="2" w:equalWidth="0">
            <w:col w:w="2830" w:space="110"/>
            <w:col w:w="7860"/>
          </w:cols>
        </w:sectPr>
      </w:pPr>
    </w:p>
    <w:p>
      <w:pPr>
        <w:pStyle w:val="Heading2"/>
        <w:spacing w:before="141"/>
      </w:pPr>
      <w:bookmarkStart w:name="Board Composition and Refreshment" w:id="35"/>
      <w:bookmarkEnd w:id="35"/>
      <w:r>
        <w:rPr>
          <w:b w:val="0"/>
        </w:rPr>
      </w:r>
      <w:bookmarkStart w:name="_bookmark14" w:id="36"/>
      <w:bookmarkEnd w:id="36"/>
      <w:r>
        <w:rPr>
          <w:b w:val="0"/>
        </w:rPr>
      </w:r>
      <w:r>
        <w:rPr>
          <w:color w:val="00539E"/>
        </w:rPr>
        <w:t>Board</w:t>
      </w:r>
      <w:r>
        <w:rPr>
          <w:color w:val="00539E"/>
          <w:spacing w:val="-5"/>
        </w:rPr>
        <w:t> </w:t>
      </w:r>
      <w:r>
        <w:rPr>
          <w:color w:val="00539E"/>
        </w:rPr>
        <w:t>Composition,</w:t>
      </w:r>
      <w:r>
        <w:rPr>
          <w:color w:val="00539E"/>
          <w:spacing w:val="-5"/>
        </w:rPr>
        <w:t> </w:t>
      </w:r>
      <w:r>
        <w:rPr>
          <w:color w:val="00539E"/>
        </w:rPr>
        <w:t>Refreshment</w:t>
      </w:r>
      <w:r>
        <w:rPr>
          <w:color w:val="00539E"/>
          <w:spacing w:val="-5"/>
        </w:rPr>
        <w:t> </w:t>
      </w:r>
      <w:r>
        <w:rPr>
          <w:color w:val="00539E"/>
        </w:rPr>
        <w:t>and</w:t>
      </w:r>
      <w:r>
        <w:rPr>
          <w:color w:val="00539E"/>
          <w:spacing w:val="-4"/>
        </w:rPr>
        <w:t> </w:t>
      </w:r>
      <w:r>
        <w:rPr>
          <w:color w:val="00539E"/>
        </w:rPr>
        <w:t>Diversity</w:t>
      </w:r>
    </w:p>
    <w:p>
      <w:pPr>
        <w:pStyle w:val="BodyText"/>
        <w:spacing w:line="249" w:lineRule="auto" w:before="221"/>
        <w:ind w:left="250" w:right="282"/>
      </w:pPr>
      <w:r>
        <w:rPr/>
        <w:t>Nominees for Director are selected by the Compensation Committee, which will consider nominees recommended</w:t>
      </w:r>
      <w:r>
        <w:rPr>
          <w:spacing w:val="1"/>
        </w:rPr>
        <w:t> </w:t>
      </w:r>
      <w:r>
        <w:rPr/>
        <w:t>by stockholders. If you wish to recommend a person whom you consider qualified to serve on the Board, you must</w:t>
      </w:r>
      <w:r>
        <w:rPr>
          <w:spacing w:val="1"/>
        </w:rPr>
        <w:t> </w:t>
      </w:r>
      <w:r>
        <w:rPr/>
        <w:t>give written notice to our Corporate Secretary in accordance with the requirements described in the "Stockholder</w:t>
      </w:r>
      <w:r>
        <w:rPr>
          <w:spacing w:val="1"/>
        </w:rPr>
        <w:t> </w:t>
      </w:r>
      <w:r>
        <w:rPr>
          <w:spacing w:val="-1"/>
        </w:rPr>
        <w:t>Proposals </w:t>
      </w:r>
      <w:r>
        <w:rPr/>
        <w:t>for the 2023 Annual Meeting" section of this Proxy Statement. This notice must contain:</w:t>
      </w:r>
      <w:r>
        <w:rPr>
          <w:spacing w:val="1"/>
        </w:rPr>
        <w:t> </w:t>
      </w:r>
      <w:r>
        <w:rPr/>
        <w:t>(i) as to each</w:t>
      </w:r>
      <w:r>
        <w:rPr>
          <w:spacing w:val="1"/>
        </w:rPr>
        <w:t> </w:t>
      </w:r>
      <w:r>
        <w:rPr/>
        <w:t>nominee, all information that would be required to be disclosed in a proxy statement with respect to the election of</w:t>
      </w:r>
      <w:r>
        <w:rPr>
          <w:spacing w:val="1"/>
        </w:rPr>
        <w:t> </w:t>
      </w:r>
      <w:r>
        <w:rPr/>
        <w:t>Directors pursuant to the Exchange Act, (ii) the name and address of the stockholder giving the notice, (iii) the</w:t>
      </w:r>
      <w:r>
        <w:rPr>
          <w:spacing w:val="1"/>
        </w:rPr>
        <w:t> </w:t>
      </w:r>
      <w:r>
        <w:rPr/>
        <w:t>number of shares of Common Stock owned beneficially and of record by such stockholder, and (iv) the written</w:t>
      </w:r>
      <w:r>
        <w:rPr>
          <w:spacing w:val="1"/>
        </w:rPr>
        <w:t> </w:t>
      </w:r>
      <w:r>
        <w:rPr/>
        <w:t>consent of each nominee to serve as a Director if so elected. The Compensation Committee will consider and</w:t>
      </w:r>
      <w:r>
        <w:rPr>
          <w:spacing w:val="1"/>
        </w:rPr>
        <w:t> </w:t>
      </w:r>
      <w:r>
        <w:rPr/>
        <w:t>evaluate</w:t>
      </w:r>
      <w:r>
        <w:rPr>
          <w:spacing w:val="-5"/>
        </w:rPr>
        <w:t> </w:t>
      </w:r>
      <w:r>
        <w:rPr/>
        <w:t>persons</w:t>
      </w:r>
      <w:r>
        <w:rPr>
          <w:spacing w:val="-5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stockholders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same</w:t>
      </w:r>
      <w:r>
        <w:rPr>
          <w:spacing w:val="-5"/>
        </w:rPr>
        <w:t> </w:t>
      </w:r>
      <w:r>
        <w:rPr/>
        <w:t>manner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nominees</w:t>
      </w:r>
      <w:r>
        <w:rPr>
          <w:spacing w:val="-5"/>
        </w:rPr>
        <w:t> </w:t>
      </w:r>
      <w:r>
        <w:rPr/>
        <w:t>identified</w:t>
      </w:r>
      <w:r>
        <w:rPr>
          <w:spacing w:val="-5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1"/>
        </w:rPr>
        <w:t> </w:t>
      </w:r>
      <w:r>
        <w:rPr>
          <w:spacing w:val="-1"/>
        </w:rPr>
        <w:t>and/or the Compensation </w:t>
      </w:r>
      <w:r>
        <w:rPr/>
        <w:t>Committee. For the upcoming Annual Meeting, the Compensation Committee did not</w:t>
      </w:r>
      <w:r>
        <w:rPr>
          <w:spacing w:val="1"/>
        </w:rPr>
        <w:t> </w:t>
      </w:r>
      <w:r>
        <w:rPr/>
        <w:t>receive</w:t>
      </w:r>
      <w:r>
        <w:rPr>
          <w:spacing w:val="-2"/>
        </w:rPr>
        <w:t> </w:t>
      </w:r>
      <w:r>
        <w:rPr/>
        <w:t>any</w:t>
      </w:r>
      <w:r>
        <w:rPr>
          <w:spacing w:val="-1"/>
        </w:rPr>
        <w:t> </w:t>
      </w:r>
      <w:r>
        <w:rPr/>
        <w:t>recommendations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nominees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stockholders.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9" w:lineRule="auto"/>
        <w:ind w:left="250" w:right="349"/>
      </w:pPr>
      <w:r>
        <w:rPr/>
        <w:t>The Compensation Committee identifies nominees for Director from various sources.</w:t>
      </w:r>
      <w:r>
        <w:rPr>
          <w:spacing w:val="55"/>
        </w:rPr>
        <w:t> </w:t>
      </w:r>
      <w:r>
        <w:rPr/>
        <w:t>In assessing potential</w:t>
      </w:r>
      <w:r>
        <w:rPr>
          <w:spacing w:val="1"/>
        </w:rPr>
        <w:t> </w:t>
      </w:r>
      <w:r>
        <w:rPr/>
        <w:t>Director</w:t>
      </w:r>
      <w:r>
        <w:rPr>
          <w:spacing w:val="-7"/>
        </w:rPr>
        <w:t> </w:t>
      </w:r>
      <w:r>
        <w:rPr/>
        <w:t>nominees,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Compensation</w:t>
      </w:r>
      <w:r>
        <w:rPr>
          <w:spacing w:val="-7"/>
        </w:rPr>
        <w:t> </w:t>
      </w:r>
      <w:r>
        <w:rPr/>
        <w:t>Committee</w:t>
      </w:r>
      <w:r>
        <w:rPr>
          <w:spacing w:val="-7"/>
        </w:rPr>
        <w:t> </w:t>
      </w:r>
      <w:r>
        <w:rPr/>
        <w:t>considers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character,</w:t>
      </w:r>
      <w:r>
        <w:rPr>
          <w:spacing w:val="-7"/>
        </w:rPr>
        <w:t> </w:t>
      </w:r>
      <w:r>
        <w:rPr/>
        <w:t>background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professional</w:t>
      </w:r>
      <w:r>
        <w:rPr>
          <w:spacing w:val="-7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 candidates.</w:t>
      </w:r>
      <w:r>
        <w:rPr>
          <w:spacing w:val="55"/>
        </w:rPr>
        <w:t> </w:t>
      </w:r>
      <w:r>
        <w:rPr/>
        <w:t>All nominees should possess good judgment and an inquiring and independent mind.</w:t>
      </w:r>
      <w:r>
        <w:rPr>
          <w:spacing w:val="56"/>
        </w:rPr>
        <w:t> </w:t>
      </w:r>
      <w:r>
        <w:rPr/>
        <w:t>Familiarity</w:t>
      </w:r>
      <w:r>
        <w:rPr>
          <w:spacing w:val="1"/>
        </w:rPr>
        <w:t> </w:t>
      </w:r>
      <w:r>
        <w:rPr/>
        <w:t>with the issues affecting the Company is among the relevant criteria. All Director nominees must possess a</w:t>
      </w:r>
      <w:r>
        <w:rPr>
          <w:spacing w:val="1"/>
        </w:rPr>
        <w:t> </w:t>
      </w:r>
      <w:r>
        <w:rPr/>
        <w:t>reputation for the highest personal and professional ethics, integrity and values. The Compensation Committee will</w:t>
      </w:r>
      <w:r>
        <w:rPr>
          <w:spacing w:val="1"/>
        </w:rPr>
        <w:t> </w:t>
      </w:r>
      <w:r>
        <w:rPr/>
        <w:t>also carefully consider any potential conflicts of interest.</w:t>
      </w:r>
      <w:r>
        <w:rPr>
          <w:spacing w:val="55"/>
        </w:rPr>
        <w:t> </w:t>
      </w:r>
      <w:r>
        <w:rPr/>
        <w:t>Nominees must also be willing and able to devote</w:t>
      </w:r>
      <w:r>
        <w:rPr>
          <w:spacing w:val="1"/>
        </w:rPr>
        <w:t> </w:t>
      </w:r>
      <w:r>
        <w:rPr/>
        <w:t>sufficient time and effort to carrying out the duties and responsibilities of a Director effectively and should be</w:t>
      </w:r>
      <w:r>
        <w:rPr>
          <w:spacing w:val="1"/>
        </w:rPr>
        <w:t> </w:t>
      </w:r>
      <w:r>
        <w:rPr/>
        <w:t>committed to serving on the Board for an extended period of time.</w:t>
      </w:r>
      <w:r>
        <w:rPr>
          <w:spacing w:val="1"/>
        </w:rPr>
        <w:t> </w:t>
      </w:r>
      <w:r>
        <w:rPr/>
        <w:t>The Compensation Committee considers</w:t>
      </w:r>
      <w:r>
        <w:rPr>
          <w:spacing w:val="1"/>
        </w:rPr>
        <w:t> </w:t>
      </w:r>
      <w:r>
        <w:rPr/>
        <w:t>diversity in identifying and evaluating Director nominees.</w:t>
      </w:r>
      <w:r>
        <w:rPr>
          <w:spacing w:val="1"/>
        </w:rPr>
        <w:t> </w:t>
      </w:r>
      <w:r>
        <w:rPr/>
        <w:t>The Compensation Committee strives to nominate</w:t>
      </w:r>
      <w:r>
        <w:rPr>
          <w:spacing w:val="1"/>
        </w:rPr>
        <w:t> </w:t>
      </w:r>
      <w:r>
        <w:rPr/>
        <w:t>Directors with a variety of complementary skills so that, if elected, the Board will contain the appropriate mix of</w:t>
      </w:r>
      <w:r>
        <w:rPr>
          <w:spacing w:val="1"/>
        </w:rPr>
        <w:t> </w:t>
      </w:r>
      <w:r>
        <w:rPr/>
        <w:t>diversity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oversee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Company's</w:t>
      </w:r>
      <w:r>
        <w:rPr>
          <w:spacing w:val="-1"/>
        </w:rPr>
        <w:t> </w:t>
      </w:r>
      <w:r>
        <w:rPr/>
        <w:t>business.</w:t>
      </w:r>
    </w:p>
    <w:p>
      <w:pPr>
        <w:pStyle w:val="BodyText"/>
        <w:spacing w:before="5"/>
        <w:rPr>
          <w:sz w:val="17"/>
        </w:rPr>
      </w:pPr>
    </w:p>
    <w:p>
      <w:pPr>
        <w:pStyle w:val="Heading2"/>
      </w:pPr>
      <w:bookmarkStart w:name="Executive Officer Biographical Informati" w:id="37"/>
      <w:bookmarkEnd w:id="37"/>
      <w:r>
        <w:rPr>
          <w:b w:val="0"/>
        </w:rPr>
      </w:r>
      <w:bookmarkStart w:name="_bookmark15" w:id="38"/>
      <w:bookmarkEnd w:id="38"/>
      <w:r>
        <w:rPr>
          <w:b w:val="0"/>
        </w:rPr>
      </w:r>
      <w:r>
        <w:rPr>
          <w:color w:val="00539E"/>
        </w:rPr>
        <w:t>Executive</w:t>
      </w:r>
      <w:r>
        <w:rPr>
          <w:color w:val="00539E"/>
          <w:spacing w:val="-6"/>
        </w:rPr>
        <w:t> </w:t>
      </w:r>
      <w:r>
        <w:rPr>
          <w:color w:val="00539E"/>
        </w:rPr>
        <w:t>Officers'</w:t>
      </w:r>
      <w:r>
        <w:rPr>
          <w:color w:val="00539E"/>
          <w:spacing w:val="-5"/>
        </w:rPr>
        <w:t> </w:t>
      </w:r>
      <w:r>
        <w:rPr>
          <w:color w:val="00539E"/>
        </w:rPr>
        <w:t>Biographical</w:t>
      </w:r>
      <w:r>
        <w:rPr>
          <w:color w:val="00539E"/>
          <w:spacing w:val="-5"/>
        </w:rPr>
        <w:t> </w:t>
      </w:r>
      <w:r>
        <w:rPr>
          <w:color w:val="00539E"/>
        </w:rPr>
        <w:t>Information</w:t>
      </w:r>
    </w:p>
    <w:p>
      <w:pPr>
        <w:pStyle w:val="BodyText"/>
        <w:spacing w:line="249" w:lineRule="auto" w:before="220"/>
        <w:ind w:left="250" w:right="282"/>
      </w:pPr>
      <w:r>
        <w:rPr>
          <w:spacing w:val="-1"/>
        </w:rPr>
        <w:t>See "Compensation Discussion and Analysis - Executive Officers' </w:t>
      </w:r>
      <w:r>
        <w:rPr/>
        <w:t>Biographical Information" of this Proxy Statement</w:t>
      </w:r>
      <w:r>
        <w:rPr>
          <w:spacing w:val="-5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biographical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officers.</w:t>
      </w:r>
    </w:p>
    <w:p>
      <w:pPr>
        <w:pStyle w:val="Heading2"/>
        <w:spacing w:before="194"/>
      </w:pPr>
      <w:bookmarkStart w:name="Stockholder Right to Amend the Bylaws" w:id="39"/>
      <w:bookmarkEnd w:id="39"/>
      <w:r>
        <w:rPr>
          <w:b w:val="0"/>
        </w:rPr>
      </w:r>
      <w:bookmarkStart w:name="_bookmark16" w:id="40"/>
      <w:bookmarkEnd w:id="40"/>
      <w:r>
        <w:rPr>
          <w:b w:val="0"/>
        </w:rPr>
      </w:r>
      <w:r>
        <w:rPr>
          <w:color w:val="00539E"/>
        </w:rPr>
        <w:t>Stockholder</w:t>
      </w:r>
      <w:r>
        <w:rPr>
          <w:color w:val="00539E"/>
          <w:spacing w:val="-2"/>
        </w:rPr>
        <w:t> </w:t>
      </w:r>
      <w:r>
        <w:rPr>
          <w:color w:val="00539E"/>
        </w:rPr>
        <w:t>Right</w:t>
      </w:r>
      <w:r>
        <w:rPr>
          <w:color w:val="00539E"/>
          <w:spacing w:val="-2"/>
        </w:rPr>
        <w:t> </w:t>
      </w:r>
      <w:r>
        <w:rPr>
          <w:color w:val="00539E"/>
        </w:rPr>
        <w:t>to</w:t>
      </w:r>
      <w:r>
        <w:rPr>
          <w:color w:val="00539E"/>
          <w:spacing w:val="-2"/>
        </w:rPr>
        <w:t> </w:t>
      </w:r>
      <w:r>
        <w:rPr>
          <w:color w:val="00539E"/>
        </w:rPr>
        <w:t>Amend</w:t>
      </w:r>
      <w:r>
        <w:rPr>
          <w:color w:val="00539E"/>
          <w:spacing w:val="-2"/>
        </w:rPr>
        <w:t> </w:t>
      </w:r>
      <w:r>
        <w:rPr>
          <w:color w:val="00539E"/>
        </w:rPr>
        <w:t>the</w:t>
      </w:r>
      <w:r>
        <w:rPr>
          <w:color w:val="00539E"/>
          <w:spacing w:val="-2"/>
        </w:rPr>
        <w:t> </w:t>
      </w:r>
      <w:r>
        <w:rPr>
          <w:color w:val="00539E"/>
        </w:rPr>
        <w:t>Bylaws</w:t>
      </w:r>
    </w:p>
    <w:p>
      <w:pPr>
        <w:pStyle w:val="BodyText"/>
        <w:spacing w:line="249" w:lineRule="auto" w:before="220"/>
        <w:ind w:left="250" w:right="282"/>
      </w:pPr>
      <w:r>
        <w:rPr/>
        <w:t>Stockholders have the power, by the affirmative vote of a majority of all votes entitled to be cast on the matter, to</w:t>
      </w:r>
      <w:r>
        <w:rPr>
          <w:spacing w:val="1"/>
        </w:rPr>
        <w:t> </w:t>
      </w:r>
      <w:r>
        <w:rPr/>
        <w:t>alter or repeal any provision of these Bylaws and to adopt new Bylaws, except that the stockholders shall not have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power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alter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3"/>
        </w:rPr>
        <w:t> </w:t>
      </w:r>
      <w:r>
        <w:rPr/>
        <w:t>repeal</w:t>
      </w:r>
      <w:r>
        <w:rPr>
          <w:spacing w:val="-14"/>
        </w:rPr>
        <w:t> </w:t>
      </w:r>
      <w:r>
        <w:rPr/>
        <w:t>Article</w:t>
      </w:r>
      <w:r>
        <w:rPr>
          <w:spacing w:val="-3"/>
        </w:rPr>
        <w:t> </w:t>
      </w:r>
      <w:r>
        <w:rPr/>
        <w:t>XIV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adopt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provision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Bylaws</w:t>
      </w:r>
      <w:r>
        <w:rPr>
          <w:spacing w:val="-3"/>
        </w:rPr>
        <w:t> </w:t>
      </w:r>
      <w:r>
        <w:rPr/>
        <w:t>inconsistent</w:t>
      </w:r>
      <w:r>
        <w:rPr>
          <w:spacing w:val="-3"/>
        </w:rPr>
        <w:t> </w:t>
      </w:r>
      <w:r>
        <w:rPr/>
        <w:t>with</w:t>
      </w:r>
      <w:r>
        <w:rPr>
          <w:spacing w:val="-14"/>
        </w:rPr>
        <w:t> </w:t>
      </w:r>
      <w:r>
        <w:rPr/>
        <w:t>Article</w:t>
      </w:r>
      <w:r>
        <w:rPr>
          <w:spacing w:val="-3"/>
        </w:rPr>
        <w:t> </w:t>
      </w:r>
      <w:r>
        <w:rPr/>
        <w:t>XIV</w:t>
      </w:r>
      <w:r>
        <w:rPr>
          <w:spacing w:val="-4"/>
        </w:rPr>
        <w:t> </w:t>
      </w:r>
      <w:r>
        <w:rPr/>
        <w:t>without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bookmarkStart w:name="Proposal No. 1 - Election of Directors" w:id="41"/>
      <w:bookmarkEnd w:id="41"/>
      <w:r>
        <w:rPr/>
        <w:t>a</w:t>
      </w:r>
      <w:r>
        <w:rPr/>
        <w:t>pproval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Board.</w:t>
      </w:r>
    </w:p>
    <w:p>
      <w:pPr>
        <w:spacing w:after="0" w:line="249" w:lineRule="auto"/>
        <w:sectPr>
          <w:type w:val="continuous"/>
          <w:pgSz w:w="12240" w:h="15840"/>
          <w:pgMar w:header="0" w:footer="518" w:top="860" w:bottom="280" w:left="740" w:right="700"/>
        </w:sect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0"/>
        <w:ind w:left="250" w:right="0" w:firstLine="0"/>
        <w:jc w:val="left"/>
        <w:rPr>
          <w:b/>
          <w:sz w:val="24"/>
        </w:rPr>
      </w:pPr>
      <w:bookmarkStart w:name="Independence of Directors" w:id="42"/>
      <w:bookmarkEnd w:id="42"/>
      <w:r>
        <w:rPr/>
      </w:r>
      <w:bookmarkStart w:name="_bookmark17" w:id="43"/>
      <w:bookmarkEnd w:id="43"/>
      <w:r>
        <w:rPr/>
      </w:r>
      <w:r>
        <w:rPr>
          <w:b/>
          <w:color w:val="00539E"/>
          <w:sz w:val="24"/>
        </w:rPr>
        <w:t>Independence</w:t>
      </w:r>
      <w:r>
        <w:rPr>
          <w:b/>
          <w:color w:val="00539E"/>
          <w:spacing w:val="-5"/>
          <w:sz w:val="24"/>
        </w:rPr>
        <w:t> </w:t>
      </w:r>
      <w:r>
        <w:rPr>
          <w:b/>
          <w:color w:val="00539E"/>
          <w:sz w:val="24"/>
        </w:rPr>
        <w:t>of</w:t>
      </w:r>
      <w:r>
        <w:rPr>
          <w:b/>
          <w:color w:val="00539E"/>
          <w:spacing w:val="-4"/>
          <w:sz w:val="24"/>
        </w:rPr>
        <w:t> </w:t>
      </w:r>
      <w:r>
        <w:rPr>
          <w:b/>
          <w:color w:val="00539E"/>
          <w:sz w:val="24"/>
        </w:rPr>
        <w:t>Directors</w:t>
      </w:r>
    </w:p>
    <w:p>
      <w:pPr>
        <w:pStyle w:val="Heading1"/>
        <w:spacing w:line="338" w:lineRule="auto"/>
        <w:ind w:left="250" w:right="3868" w:firstLine="526"/>
        <w:jc w:val="left"/>
      </w:pPr>
      <w:r>
        <w:rPr>
          <w:b w:val="0"/>
        </w:rPr>
        <w:br w:type="column"/>
      </w:r>
      <w:r>
        <w:rPr>
          <w:color w:val="00539E"/>
        </w:rPr>
        <w:t>PROPOSAL NO. 1</w:t>
      </w:r>
      <w:r>
        <w:rPr>
          <w:color w:val="00539E"/>
          <w:spacing w:val="1"/>
        </w:rPr>
        <w:t> </w:t>
      </w:r>
      <w:r>
        <w:rPr>
          <w:color w:val="00539E"/>
        </w:rPr>
        <w:t>ELECTION</w:t>
      </w:r>
      <w:r>
        <w:rPr>
          <w:color w:val="00539E"/>
          <w:spacing w:val="-8"/>
        </w:rPr>
        <w:t> </w:t>
      </w:r>
      <w:r>
        <w:rPr>
          <w:color w:val="00539E"/>
        </w:rPr>
        <w:t>OF</w:t>
      </w:r>
      <w:r>
        <w:rPr>
          <w:color w:val="00539E"/>
          <w:spacing w:val="-8"/>
        </w:rPr>
        <w:t> </w:t>
      </w:r>
      <w:r>
        <w:rPr>
          <w:color w:val="00539E"/>
        </w:rPr>
        <w:t>DIRECTORS</w:t>
      </w:r>
    </w:p>
    <w:p>
      <w:pPr>
        <w:spacing w:after="0" w:line="338" w:lineRule="auto"/>
        <w:jc w:val="left"/>
        <w:sectPr>
          <w:footerReference w:type="default" r:id="rId25"/>
          <w:pgSz w:w="12240" w:h="15840"/>
          <w:pgMar w:footer="517" w:header="0" w:top="740" w:bottom="700" w:left="740" w:right="700"/>
          <w:cols w:num="2" w:equalWidth="0">
            <w:col w:w="3318" w:space="266"/>
            <w:col w:w="7216"/>
          </w:cols>
        </w:sectPr>
      </w:pPr>
    </w:p>
    <w:p>
      <w:pPr>
        <w:pStyle w:val="BodyText"/>
        <w:rPr>
          <w:b/>
          <w:sz w:val="11"/>
        </w:rPr>
      </w:pPr>
    </w:p>
    <w:p>
      <w:pPr>
        <w:pStyle w:val="BodyText"/>
        <w:spacing w:line="249" w:lineRule="auto" w:before="94"/>
        <w:ind w:left="250" w:right="376"/>
      </w:pPr>
      <w:r>
        <w:rPr/>
        <w:t>Pursuant to the Company's Guidelines on Corporate Governance, which require that a majority of our Directors be</w:t>
      </w:r>
      <w:r>
        <w:rPr>
          <w:spacing w:val="1"/>
        </w:rPr>
        <w:t> </w:t>
      </w:r>
      <w:r>
        <w:rPr/>
        <w:t>independent within the meaning of NYSE standards and do not include any additional categorical standards other</w:t>
      </w:r>
      <w:r>
        <w:rPr>
          <w:spacing w:val="1"/>
        </w:rPr>
        <w:t> </w:t>
      </w:r>
      <w:r>
        <w:rPr/>
        <w:t>than those required by the NYSE, the Board undertook a review of the independence of Directors nominated for</w:t>
      </w:r>
      <w:r>
        <w:rPr>
          <w:spacing w:val="1"/>
        </w:rPr>
        <w:t> </w:t>
      </w:r>
      <w:r>
        <w:rPr/>
        <w:t>reelection at the upcoming Annual Meeting.</w:t>
      </w:r>
      <w:r>
        <w:rPr>
          <w:spacing w:val="1"/>
        </w:rPr>
        <w:t> </w:t>
      </w:r>
      <w:r>
        <w:rPr/>
        <w:t>During this review, the Board considered transactions and</w:t>
      </w:r>
      <w:r>
        <w:rPr>
          <w:spacing w:val="1"/>
        </w:rPr>
        <w:t> </w:t>
      </w:r>
      <w:r>
        <w:rPr/>
        <w:t>relationships, if any, during the prior year between each Director or any member of his or her immediate family and</w:t>
      </w:r>
      <w:r>
        <w:rPr>
          <w:spacing w:val="-53"/>
        </w:rPr>
        <w:t> </w:t>
      </w:r>
      <w:r>
        <w:rPr/>
        <w:t>the Company, including those reported under the "Certain Relationships and Related Transactions" section of this</w:t>
      </w:r>
      <w:r>
        <w:rPr>
          <w:spacing w:val="1"/>
        </w:rPr>
        <w:t> </w:t>
      </w:r>
      <w:r>
        <w:rPr/>
        <w:t>Proxy statement. As provided in the Guidelines on Corporate Governance, the purpose of this review was to</w:t>
      </w:r>
      <w:r>
        <w:rPr>
          <w:spacing w:val="1"/>
        </w:rPr>
        <w:t> </w:t>
      </w:r>
      <w:r>
        <w:rPr/>
        <w:t>determine</w:t>
      </w:r>
      <w:r>
        <w:rPr>
          <w:spacing w:val="-6"/>
        </w:rPr>
        <w:t> </w:t>
      </w:r>
      <w:r>
        <w:rPr/>
        <w:t>whether</w:t>
      </w:r>
      <w:r>
        <w:rPr>
          <w:spacing w:val="-5"/>
        </w:rPr>
        <w:t> </w:t>
      </w:r>
      <w:r>
        <w:rPr/>
        <w:t>any</w:t>
      </w:r>
      <w:r>
        <w:rPr>
          <w:spacing w:val="-5"/>
        </w:rPr>
        <w:t> </w:t>
      </w:r>
      <w:r>
        <w:rPr/>
        <w:t>such</w:t>
      </w:r>
      <w:r>
        <w:rPr>
          <w:spacing w:val="-5"/>
        </w:rPr>
        <w:t> </w:t>
      </w:r>
      <w:r>
        <w:rPr/>
        <w:t>relationships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transactions</w:t>
      </w:r>
      <w:r>
        <w:rPr>
          <w:spacing w:val="-5"/>
        </w:rPr>
        <w:t> </w:t>
      </w:r>
      <w:r>
        <w:rPr/>
        <w:t>were</w:t>
      </w:r>
      <w:r>
        <w:rPr>
          <w:spacing w:val="-6"/>
        </w:rPr>
        <w:t> </w:t>
      </w:r>
      <w:r>
        <w:rPr/>
        <w:t>inconsistent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determination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Director</w:t>
      </w:r>
      <w:r>
        <w:rPr>
          <w:spacing w:val="-6"/>
        </w:rPr>
        <w:t> </w:t>
      </w:r>
      <w:r>
        <w:rPr/>
        <w:t>is</w:t>
      </w:r>
      <w:r>
        <w:rPr>
          <w:spacing w:val="1"/>
        </w:rPr>
        <w:t> </w:t>
      </w:r>
      <w:r>
        <w:rPr/>
        <w:t>independent.</w:t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/>
        <w:ind w:left="250" w:right="376"/>
      </w:pPr>
      <w:r>
        <w:rPr/>
        <w:t>As a result of this review, the Board affirmatively determined that all the Directors nominated for election at the</w:t>
      </w:r>
      <w:r>
        <w:rPr>
          <w:spacing w:val="1"/>
        </w:rPr>
        <w:t> </w:t>
      </w:r>
      <w:r>
        <w:rPr/>
        <w:t>Annual</w:t>
      </w:r>
      <w:r>
        <w:rPr>
          <w:spacing w:val="-6"/>
        </w:rPr>
        <w:t> </w:t>
      </w:r>
      <w:r>
        <w:rPr/>
        <w:t>Meeting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independent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its</w:t>
      </w:r>
      <w:r>
        <w:rPr>
          <w:spacing w:val="-5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exception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our</w:t>
      </w:r>
      <w:r>
        <w:rPr>
          <w:spacing w:val="-5"/>
        </w:rPr>
        <w:t> </w:t>
      </w:r>
      <w:r>
        <w:rPr/>
        <w:t>Chairman,</w:t>
      </w:r>
      <w:r>
        <w:rPr>
          <w:spacing w:val="-5"/>
        </w:rPr>
        <w:t> </w:t>
      </w:r>
      <w:r>
        <w:rPr/>
        <w:t>Mr.</w:t>
      </w:r>
      <w:r>
        <w:rPr>
          <w:spacing w:val="-5"/>
        </w:rPr>
        <w:t> </w:t>
      </w:r>
      <w:r>
        <w:rPr/>
        <w:t>Zell,</w:t>
      </w:r>
      <w:r>
        <w:rPr>
          <w:spacing w:val="1"/>
        </w:rPr>
        <w:t> </w:t>
      </w:r>
      <w:r>
        <w:rPr/>
        <w:t>and our CEO, Marguerite Nader. The Board determined that none of the independent Directors has or had a</w:t>
      </w:r>
      <w:r>
        <w:rPr>
          <w:spacing w:val="1"/>
        </w:rPr>
        <w:t> </w:t>
      </w:r>
      <w:r>
        <w:rPr/>
        <w:t>material</w:t>
      </w:r>
      <w:r>
        <w:rPr>
          <w:spacing w:val="-4"/>
        </w:rPr>
        <w:t> </w:t>
      </w:r>
      <w:r>
        <w:rPr/>
        <w:t>relationship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Director</w:t>
      </w:r>
      <w:r>
        <w:rPr>
          <w:spacing w:val="-3"/>
        </w:rPr>
        <w:t> </w:t>
      </w:r>
      <w:r>
        <w:rPr/>
        <w:t>and/or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stockholder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/>
        <w:ind w:left="250" w:right="608"/>
      </w:pPr>
      <w:r>
        <w:rPr/>
        <w:t>The</w:t>
      </w:r>
      <w:r>
        <w:rPr>
          <w:spacing w:val="-6"/>
        </w:rPr>
        <w:t> </w:t>
      </w:r>
      <w:r>
        <w:rPr/>
        <w:t>Board</w:t>
      </w:r>
      <w:r>
        <w:rPr>
          <w:spacing w:val="-5"/>
        </w:rPr>
        <w:t> </w:t>
      </w:r>
      <w:r>
        <w:rPr/>
        <w:t>specifically</w:t>
      </w:r>
      <w:r>
        <w:rPr>
          <w:spacing w:val="-5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Mr.</w:t>
      </w:r>
      <w:r>
        <w:rPr>
          <w:spacing w:val="-5"/>
        </w:rPr>
        <w:t> </w:t>
      </w:r>
      <w:r>
        <w:rPr/>
        <w:t>Heneghan's</w:t>
      </w:r>
      <w:r>
        <w:rPr>
          <w:spacing w:val="-5"/>
        </w:rPr>
        <w:t> </w:t>
      </w:r>
      <w:r>
        <w:rPr/>
        <w:t>role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former</w:t>
      </w:r>
      <w:r>
        <w:rPr>
          <w:spacing w:val="-5"/>
        </w:rPr>
        <w:t> </w:t>
      </w:r>
      <w:r>
        <w:rPr/>
        <w:t>CEO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that</w:t>
      </w:r>
      <w:r>
        <w:rPr>
          <w:spacing w:val="-5"/>
        </w:rPr>
        <w:t> </w:t>
      </w:r>
      <w:r>
        <w:rPr/>
        <w:t>this</w:t>
      </w:r>
      <w:r>
        <w:rPr>
          <w:spacing w:val="1"/>
        </w:rPr>
        <w:t> </w:t>
      </w:r>
      <w:r>
        <w:rPr/>
        <w:t>role</w:t>
      </w:r>
      <w:r>
        <w:rPr>
          <w:spacing w:val="-3"/>
        </w:rPr>
        <w:t> </w:t>
      </w:r>
      <w:r>
        <w:rPr/>
        <w:t>did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hinder</w:t>
      </w:r>
      <w:r>
        <w:rPr>
          <w:spacing w:val="-3"/>
        </w:rPr>
        <w:t> </w:t>
      </w:r>
      <w:r>
        <w:rPr/>
        <w:t>Mr.</w:t>
      </w:r>
      <w:r>
        <w:rPr>
          <w:spacing w:val="-3"/>
        </w:rPr>
        <w:t> </w:t>
      </w:r>
      <w:r>
        <w:rPr/>
        <w:t>Heneghan's</w:t>
      </w:r>
      <w:r>
        <w:rPr>
          <w:spacing w:val="-3"/>
        </w:rPr>
        <w:t> </w:t>
      </w:r>
      <w:r>
        <w:rPr/>
        <w:t>independence</w:t>
      </w:r>
      <w:r>
        <w:rPr>
          <w:spacing w:val="-3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meaning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NYSE</w:t>
      </w:r>
      <w:r>
        <w:rPr>
          <w:spacing w:val="-3"/>
        </w:rPr>
        <w:t> </w:t>
      </w:r>
      <w:r>
        <w:rPr/>
        <w:t>listing</w:t>
      </w:r>
      <w:r>
        <w:rPr>
          <w:spacing w:val="-3"/>
        </w:rPr>
        <w:t> </w:t>
      </w:r>
      <w:r>
        <w:rPr/>
        <w:t>standards.</w:t>
      </w:r>
    </w:p>
    <w:p>
      <w:pPr>
        <w:pStyle w:val="Heading2"/>
        <w:spacing w:before="193"/>
      </w:pPr>
      <w:bookmarkStart w:name="Nominee Information, Qualifications, Ski" w:id="44"/>
      <w:bookmarkEnd w:id="44"/>
      <w:r>
        <w:rPr>
          <w:b w:val="0"/>
        </w:rPr>
      </w:r>
      <w:bookmarkStart w:name="_bookmark18" w:id="45"/>
      <w:bookmarkEnd w:id="45"/>
      <w:r>
        <w:rPr>
          <w:b w:val="0"/>
        </w:rPr>
      </w:r>
      <w:r>
        <w:rPr>
          <w:color w:val="00539E"/>
        </w:rPr>
        <w:t>Nominee</w:t>
      </w:r>
      <w:r>
        <w:rPr>
          <w:color w:val="00539E"/>
          <w:spacing w:val="-4"/>
        </w:rPr>
        <w:t> </w:t>
      </w:r>
      <w:r>
        <w:rPr>
          <w:color w:val="00539E"/>
        </w:rPr>
        <w:t>Information,</w:t>
      </w:r>
      <w:r>
        <w:rPr>
          <w:color w:val="00539E"/>
          <w:spacing w:val="-3"/>
        </w:rPr>
        <w:t> </w:t>
      </w:r>
      <w:r>
        <w:rPr>
          <w:color w:val="00539E"/>
        </w:rPr>
        <w:t>Qualifications,</w:t>
      </w:r>
      <w:r>
        <w:rPr>
          <w:color w:val="00539E"/>
          <w:spacing w:val="-4"/>
        </w:rPr>
        <w:t> </w:t>
      </w:r>
      <w:r>
        <w:rPr>
          <w:color w:val="00539E"/>
        </w:rPr>
        <w:t>Skills</w:t>
      </w:r>
      <w:r>
        <w:rPr>
          <w:color w:val="00539E"/>
          <w:spacing w:val="-3"/>
        </w:rPr>
        <w:t> </w:t>
      </w:r>
      <w:r>
        <w:rPr>
          <w:color w:val="00539E"/>
        </w:rPr>
        <w:t>and</w:t>
      </w:r>
      <w:r>
        <w:rPr>
          <w:color w:val="00539E"/>
          <w:spacing w:val="-3"/>
        </w:rPr>
        <w:t> </w:t>
      </w:r>
      <w:r>
        <w:rPr>
          <w:color w:val="00539E"/>
        </w:rPr>
        <w:t>Experience</w:t>
      </w:r>
    </w:p>
    <w:p>
      <w:pPr>
        <w:pStyle w:val="BodyText"/>
        <w:spacing w:line="249" w:lineRule="auto" w:before="221"/>
        <w:ind w:left="250" w:right="330"/>
      </w:pPr>
      <w:r>
        <w:rPr/>
        <w:t>You are being asked to vote on the election of ten director nominees listed below. The Company's Charter currently</w:t>
      </w:r>
      <w:r>
        <w:rPr>
          <w:spacing w:val="-53"/>
        </w:rPr>
        <w:t> </w:t>
      </w:r>
      <w:r>
        <w:rPr/>
        <w:t>provides for the annual election of all Directors.</w:t>
      </w:r>
      <w:r>
        <w:rPr>
          <w:spacing w:val="1"/>
        </w:rPr>
        <w:t> </w:t>
      </w:r>
      <w:r>
        <w:rPr/>
        <w:t>Directors are elected by a plurality of votes cast. All nominees are</w:t>
      </w:r>
      <w:r>
        <w:rPr>
          <w:spacing w:val="1"/>
        </w:rPr>
        <w:t> </w:t>
      </w:r>
      <w:r>
        <w:rPr/>
        <w:t>presently</w:t>
      </w:r>
      <w:r>
        <w:rPr>
          <w:spacing w:val="-4"/>
        </w:rPr>
        <w:t> </w:t>
      </w:r>
      <w:r>
        <w:rPr/>
        <w:t>Directors,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each</w:t>
      </w:r>
      <w:r>
        <w:rPr>
          <w:spacing w:val="-3"/>
        </w:rPr>
        <w:t> </w:t>
      </w:r>
      <w:r>
        <w:rPr/>
        <w:t>nominee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consented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named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4"/>
        </w:rPr>
        <w:t> </w:t>
      </w:r>
      <w:r>
        <w:rPr/>
        <w:t>Proxy</w:t>
      </w:r>
      <w:r>
        <w:rPr>
          <w:spacing w:val="-4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serve</w:t>
      </w:r>
      <w:r>
        <w:rPr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/>
        <w:t>elected.</w:t>
      </w:r>
    </w:p>
    <w:p>
      <w:pPr>
        <w:pStyle w:val="BodyText"/>
        <w:spacing w:before="9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612562</wp:posOffset>
            </wp:positionH>
            <wp:positionV relativeFrom="paragraph">
              <wp:posOffset>196217</wp:posOffset>
            </wp:positionV>
            <wp:extent cx="6408941" cy="4145661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8941" cy="4145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type w:val="continuous"/>
          <w:pgSz w:w="12240" w:h="15840"/>
          <w:pgMar w:header="0" w:footer="517" w:top="860" w:bottom="280" w:left="740" w:right="700"/>
        </w:sectPr>
      </w:pPr>
    </w:p>
    <w:p>
      <w:pPr>
        <w:pStyle w:val="BodyText"/>
        <w:spacing w:line="249" w:lineRule="auto" w:before="73"/>
        <w:ind w:left="250" w:right="282"/>
      </w:pPr>
      <w:r>
        <w:rPr/>
        <w:t>In</w:t>
      </w:r>
      <w:r>
        <w:rPr>
          <w:spacing w:val="-7"/>
        </w:rPr>
        <w:t> </w:t>
      </w:r>
      <w:r>
        <w:rPr/>
        <w:t>addition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each</w:t>
      </w:r>
      <w:r>
        <w:rPr>
          <w:spacing w:val="-6"/>
        </w:rPr>
        <w:t> </w:t>
      </w:r>
      <w:r>
        <w:rPr/>
        <w:t>Director</w:t>
      </w:r>
      <w:r>
        <w:rPr>
          <w:spacing w:val="-6"/>
        </w:rPr>
        <w:t> </w:t>
      </w:r>
      <w:r>
        <w:rPr/>
        <w:t>nominee's</w:t>
      </w:r>
      <w:r>
        <w:rPr>
          <w:spacing w:val="-7"/>
        </w:rPr>
        <w:t> </w:t>
      </w:r>
      <w:r>
        <w:rPr/>
        <w:t>qualifications,</w:t>
      </w:r>
      <w:r>
        <w:rPr>
          <w:spacing w:val="-6"/>
        </w:rPr>
        <w:t> </w:t>
      </w:r>
      <w:r>
        <w:rPr/>
        <w:t>skills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outlined</w:t>
      </w:r>
      <w:r>
        <w:rPr>
          <w:spacing w:val="-7"/>
        </w:rPr>
        <w:t> </w:t>
      </w:r>
      <w:r>
        <w:rPr/>
        <w:t>in</w:t>
      </w:r>
      <w:r>
        <w:rPr>
          <w:spacing w:val="-6"/>
        </w:rPr>
        <w:t> </w:t>
      </w:r>
      <w:r>
        <w:rPr/>
        <w:t>their</w:t>
      </w:r>
      <w:r>
        <w:rPr>
          <w:spacing w:val="-6"/>
        </w:rPr>
        <w:t> </w:t>
      </w:r>
      <w:r>
        <w:rPr/>
        <w:t>biographical</w:t>
      </w:r>
      <w:r>
        <w:rPr>
          <w:spacing w:val="-6"/>
        </w:rPr>
        <w:t> </w:t>
      </w:r>
      <w:r>
        <w:rPr/>
        <w:t>data</w:t>
      </w:r>
      <w:r>
        <w:rPr>
          <w:spacing w:val="-6"/>
        </w:rPr>
        <w:t> </w:t>
      </w:r>
      <w:r>
        <w:rPr/>
        <w:t>below,</w:t>
      </w:r>
      <w:r>
        <w:rPr>
          <w:spacing w:val="1"/>
        </w:rPr>
        <w:t> </w:t>
      </w:r>
      <w:r>
        <w:rPr/>
        <w:t>the Company's Board looked for certain attributes in each of the Director nominees and based on these attributes,</w:t>
      </w:r>
      <w:r>
        <w:rPr>
          <w:spacing w:val="1"/>
        </w:rPr>
        <w:t> </w:t>
      </w:r>
      <w:r>
        <w:rPr/>
        <w:t>concluded that each Director nominee should serve on the Board. The Board does not require that the Director</w:t>
      </w:r>
      <w:r>
        <w:rPr>
          <w:spacing w:val="1"/>
        </w:rPr>
        <w:t> </w:t>
      </w:r>
      <w:r>
        <w:rPr/>
        <w:t>nominees</w:t>
      </w:r>
      <w:r>
        <w:rPr>
          <w:spacing w:val="-3"/>
        </w:rPr>
        <w:t> </w:t>
      </w:r>
      <w:r>
        <w:rPr/>
        <w:t>possess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attribute,</w:t>
      </w:r>
      <w:r>
        <w:rPr>
          <w:spacing w:val="-3"/>
        </w:rPr>
        <w:t> </w:t>
      </w:r>
      <w:r>
        <w:rPr/>
        <w:t>but</w:t>
      </w:r>
      <w:r>
        <w:rPr>
          <w:spacing w:val="-3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looking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mix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attributes</w:t>
      </w:r>
      <w:r>
        <w:rPr>
          <w:spacing w:val="-3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Directors.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1"/>
        <w:ind w:left="250"/>
      </w:pP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table</w:t>
      </w:r>
      <w:r>
        <w:rPr>
          <w:spacing w:val="-5"/>
        </w:rPr>
        <w:t> </w:t>
      </w:r>
      <w:r>
        <w:rPr/>
        <w:t>shows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attributes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Director</w:t>
      </w:r>
      <w:r>
        <w:rPr>
          <w:spacing w:val="-5"/>
        </w:rPr>
        <w:t> </w:t>
      </w:r>
      <w:r>
        <w:rPr/>
        <w:t>nominee.</w:t>
      </w: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874479</wp:posOffset>
            </wp:positionH>
            <wp:positionV relativeFrom="paragraph">
              <wp:posOffset>226019</wp:posOffset>
            </wp:positionV>
            <wp:extent cx="6184729" cy="6059424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729" cy="605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8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Heading2"/>
        <w:spacing w:before="64"/>
      </w:pPr>
      <w:bookmarkStart w:name="Nominees' Biographical Information" w:id="46"/>
      <w:bookmarkEnd w:id="46"/>
      <w:r>
        <w:rPr>
          <w:b w:val="0"/>
        </w:rPr>
      </w:r>
      <w:bookmarkStart w:name="_bookmark19" w:id="47"/>
      <w:bookmarkEnd w:id="47"/>
      <w:r>
        <w:rPr>
          <w:b w:val="0"/>
        </w:rPr>
      </w:r>
      <w:r>
        <w:rPr>
          <w:color w:val="00539E"/>
        </w:rPr>
        <w:t>Nominees'</w:t>
      </w:r>
      <w:r>
        <w:rPr>
          <w:color w:val="00539E"/>
          <w:spacing w:val="-7"/>
        </w:rPr>
        <w:t> </w:t>
      </w:r>
      <w:r>
        <w:rPr>
          <w:color w:val="00539E"/>
        </w:rPr>
        <w:t>Biographical</w:t>
      </w:r>
      <w:r>
        <w:rPr>
          <w:color w:val="00539E"/>
          <w:spacing w:val="-6"/>
        </w:rPr>
        <w:t> </w:t>
      </w:r>
      <w:r>
        <w:rPr>
          <w:color w:val="00539E"/>
        </w:rPr>
        <w:t>Information</w:t>
      </w:r>
    </w:p>
    <w:p>
      <w:pPr>
        <w:pStyle w:val="BodyText"/>
        <w:spacing w:before="11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650223</wp:posOffset>
            </wp:positionH>
            <wp:positionV relativeFrom="paragraph">
              <wp:posOffset>146666</wp:posOffset>
            </wp:positionV>
            <wp:extent cx="2992336" cy="1088135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336" cy="1088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249" w:lineRule="auto"/>
        <w:ind w:left="250" w:right="295"/>
      </w:pPr>
      <w:r>
        <w:rPr/>
        <w:t>Mr. Zell has been Chairman of the Board of the Company since March 1995 and was CEO from March 1995 to</w:t>
      </w:r>
      <w:r>
        <w:rPr>
          <w:spacing w:val="1"/>
        </w:rPr>
        <w:t> </w:t>
      </w:r>
      <w:r>
        <w:rPr/>
        <w:t>August 1996.</w:t>
      </w:r>
      <w:r>
        <w:rPr>
          <w:spacing w:val="55"/>
        </w:rPr>
        <w:t> </w:t>
      </w:r>
      <w:r>
        <w:rPr/>
        <w:t>Mr. Zell was Co-Chairman of the Board from December 1992 until March 1995.</w:t>
      </w:r>
      <w:r>
        <w:rPr>
          <w:spacing w:val="56"/>
        </w:rPr>
        <w:t> </w:t>
      </w:r>
      <w:r>
        <w:rPr/>
        <w:t>Mr. Zell was a</w:t>
      </w:r>
      <w:r>
        <w:rPr>
          <w:spacing w:val="1"/>
        </w:rPr>
        <w:t> </w:t>
      </w:r>
      <w:r>
        <w:rPr/>
        <w:t>director of Mobile Home Communities, Inc., the former manager of the Company’s manufactured home</w:t>
      </w:r>
      <w:r>
        <w:rPr>
          <w:spacing w:val="1"/>
        </w:rPr>
        <w:t> </w:t>
      </w:r>
      <w:r>
        <w:rPr/>
        <w:t>communities, from 1983 until its dissolution in 1993. Mr. Zell serves as chairman of Equity Group Investments</w:t>
      </w:r>
      <w:r>
        <w:rPr>
          <w:spacing w:val="1"/>
        </w:rPr>
        <w:t> </w:t>
      </w:r>
      <w:r>
        <w:rPr/>
        <w:t>("EGI"), the private investment firm he founded more than 50 years ago.</w:t>
      </w:r>
      <w:r>
        <w:rPr>
          <w:spacing w:val="1"/>
        </w:rPr>
        <w:t> </w:t>
      </w:r>
      <w:r>
        <w:rPr/>
        <w:t>EGI is a division of Chai Trust Company,</w:t>
      </w:r>
      <w:r>
        <w:rPr>
          <w:spacing w:val="1"/>
        </w:rPr>
        <w:t> </w:t>
      </w:r>
      <w:r>
        <w:rPr/>
        <w:t>LLC ("Chai Trust").</w:t>
      </w:r>
      <w:r>
        <w:rPr>
          <w:spacing w:val="55"/>
        </w:rPr>
        <w:t> </w:t>
      </w:r>
      <w:r>
        <w:rPr/>
        <w:t>EGI is the private investment firm that manages Sam Zell's and the Zell Family's wealth.</w:t>
      </w:r>
      <w:r>
        <w:rPr>
          <w:spacing w:val="56"/>
        </w:rPr>
        <w:t> </w:t>
      </w:r>
      <w:r>
        <w:rPr/>
        <w:t>Mr.</w:t>
      </w:r>
      <w:r>
        <w:rPr>
          <w:spacing w:val="1"/>
        </w:rPr>
        <w:t> </w:t>
      </w:r>
      <w:r>
        <w:rPr/>
        <w:t>Zell is also the chairman of Equity International, a private investment firm focused on real estate-related companies</w:t>
      </w:r>
      <w:r>
        <w:rPr>
          <w:spacing w:val="1"/>
        </w:rPr>
        <w:t> </w:t>
      </w:r>
      <w:r>
        <w:rPr>
          <w:spacing w:val="-1"/>
        </w:rPr>
        <w:t>outside the United </w:t>
      </w:r>
      <w:r>
        <w:rPr/>
        <w:t>States. Mr. Zell has served as chairman of the board of Equity Distribution Acquisition Corp., a</w:t>
      </w:r>
      <w:r>
        <w:rPr>
          <w:spacing w:val="1"/>
        </w:rPr>
        <w:t> </w:t>
      </w:r>
      <w:r>
        <w:rPr/>
        <w:t>publicly traded special purpose acquisition company targeting opportunities to apply technological advancement</w:t>
      </w:r>
      <w:r>
        <w:rPr>
          <w:spacing w:val="1"/>
        </w:rPr>
        <w:t> </w:t>
      </w:r>
      <w:r>
        <w:rPr/>
        <w:t>within the industrial industry, since 2020. Mr. Zell has been chairman of the board of Equity Residential, a publicly</w:t>
      </w:r>
      <w:r>
        <w:rPr>
          <w:spacing w:val="1"/>
        </w:rPr>
        <w:t> </w:t>
      </w:r>
      <w:r>
        <w:rPr/>
        <w:t>traded real estate investment trust ("REIT"), which owns and operates apartment properties, since 1993. Mr. Zell</w:t>
      </w:r>
      <w:r>
        <w:rPr>
          <w:spacing w:val="1"/>
        </w:rPr>
        <w:t> </w:t>
      </w:r>
      <w:r>
        <w:rPr/>
        <w:t>has been chairman of the board of Equity Commonwealth, a publicly traded office REIT, since 2014. Mr. Zell served</w:t>
      </w:r>
      <w:r>
        <w:rPr>
          <w:spacing w:val="-53"/>
        </w:rPr>
        <w:t> </w:t>
      </w:r>
      <w:r>
        <w:rPr/>
        <w:t>as chairman of the board of Covanta Holding Corporation from 2005 to 2021, when it was acquired by EQT</w:t>
      </w:r>
      <w:r>
        <w:rPr>
          <w:spacing w:val="1"/>
        </w:rPr>
        <w:t> </w:t>
      </w:r>
      <w:r>
        <w:rPr/>
        <w:t>Infrastructure.</w:t>
      </w:r>
      <w:r>
        <w:rPr>
          <w:spacing w:val="55"/>
        </w:rPr>
        <w:t> </w:t>
      </w:r>
      <w:r>
        <w:rPr/>
        <w:t>Mr. Zell served as chairman of the board of Anixter International, Inc., a publicly traded global</w:t>
      </w:r>
      <w:r>
        <w:rPr>
          <w:spacing w:val="1"/>
        </w:rPr>
        <w:t> </w:t>
      </w:r>
      <w:r>
        <w:rPr/>
        <w:t>supplier of communications and security products from 1984 until its sale in June 2020. Mr. Zell was a trustee and</w:t>
      </w:r>
      <w:r>
        <w:rPr>
          <w:spacing w:val="1"/>
        </w:rPr>
        <w:t> </w:t>
      </w:r>
      <w:r>
        <w:rPr/>
        <w:t>chairman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board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trustees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Equity</w:t>
      </w:r>
      <w:r>
        <w:rPr>
          <w:spacing w:val="-5"/>
        </w:rPr>
        <w:t> </w:t>
      </w:r>
      <w:r>
        <w:rPr/>
        <w:t>Office</w:t>
      </w:r>
      <w:r>
        <w:rPr>
          <w:spacing w:val="-5"/>
        </w:rPr>
        <w:t> </w:t>
      </w:r>
      <w:r>
        <w:rPr/>
        <w:t>Properties</w:t>
      </w:r>
      <w:r>
        <w:rPr>
          <w:spacing w:val="-8"/>
        </w:rPr>
        <w:t> </w:t>
      </w:r>
      <w:r>
        <w:rPr/>
        <w:t>Trust,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publicly</w:t>
      </w:r>
      <w:r>
        <w:rPr>
          <w:spacing w:val="-5"/>
        </w:rPr>
        <w:t> </w:t>
      </w:r>
      <w:r>
        <w:rPr/>
        <w:t>traded</w:t>
      </w:r>
      <w:r>
        <w:rPr>
          <w:spacing w:val="-5"/>
        </w:rPr>
        <w:t> </w:t>
      </w:r>
      <w:r>
        <w:rPr/>
        <w:t>REIT</w:t>
      </w:r>
      <w:r>
        <w:rPr>
          <w:spacing w:val="-7"/>
        </w:rPr>
        <w:t> </w:t>
      </w:r>
      <w:r>
        <w:rPr/>
        <w:t>primarily</w:t>
      </w:r>
      <w:r>
        <w:rPr>
          <w:spacing w:val="-5"/>
        </w:rPr>
        <w:t> </w:t>
      </w:r>
      <w:r>
        <w:rPr/>
        <w:t>focused</w:t>
      </w:r>
      <w:r>
        <w:rPr>
          <w:spacing w:val="-5"/>
        </w:rPr>
        <w:t> </w:t>
      </w:r>
      <w:r>
        <w:rPr/>
        <w:t>on</w:t>
      </w:r>
      <w:r>
        <w:rPr>
          <w:spacing w:val="-5"/>
        </w:rPr>
        <w:t> </w:t>
      </w:r>
      <w:r>
        <w:rPr/>
        <w:t>office</w:t>
      </w:r>
      <w:r>
        <w:rPr>
          <w:spacing w:val="1"/>
        </w:rPr>
        <w:t> </w:t>
      </w:r>
      <w:r>
        <w:rPr>
          <w:spacing w:val="-1"/>
        </w:rPr>
        <w:t>buildings, </w:t>
      </w:r>
      <w:r>
        <w:rPr/>
        <w:t>from October 1996 until its sale in February 2007, and was its chief executive officer from April 2002 to</w:t>
      </w:r>
      <w:r>
        <w:rPr>
          <w:spacing w:val="1"/>
        </w:rPr>
        <w:t> </w:t>
      </w:r>
      <w:r>
        <w:rPr>
          <w:spacing w:val="-1"/>
        </w:rPr>
        <w:t>April 2003, and </w:t>
      </w:r>
      <w:r>
        <w:rPr/>
        <w:t>its president from April 2002 to November 2002. Mr. Zell is an active philanthropist with a focus on</w:t>
      </w:r>
      <w:r>
        <w:rPr>
          <w:spacing w:val="1"/>
        </w:rPr>
        <w:t> </w:t>
      </w:r>
      <w:r>
        <w:rPr/>
        <w:t>entrepreneurial education. Through the Zell Family Foundation, he has led the sponsorship of several leading</w:t>
      </w:r>
      <w:r>
        <w:rPr>
          <w:spacing w:val="1"/>
        </w:rPr>
        <w:t> </w:t>
      </w:r>
      <w:r>
        <w:rPr/>
        <w:t>entrepreneurship programs, including: the Zell/Lurie Institute for Entrepreneurial Studies at University of Michigan’s</w:t>
      </w:r>
      <w:r>
        <w:rPr>
          <w:spacing w:val="1"/>
        </w:rPr>
        <w:t> </w:t>
      </w:r>
      <w:r>
        <w:rPr/>
        <w:t>Ross School of Business; the Zell Fellows Program at Northwestern University’s Kellogg School of Management;</w:t>
      </w:r>
      <w:r>
        <w:rPr>
          <w:spacing w:val="1"/>
        </w:rPr>
        <w:t> </w:t>
      </w:r>
      <w:r>
        <w:rPr/>
        <w:t>and the Zell Entrepreneurship Center at the Interdisciplinary Center Herzliya (IDC). The Zell Global Entrepreneur</w:t>
      </w:r>
      <w:r>
        <w:rPr>
          <w:spacing w:val="1"/>
        </w:rPr>
        <w:t> </w:t>
      </w:r>
      <w:r>
        <w:rPr/>
        <w:t>Network (ZGEN) unites the students and alumni of these programs and actively provides them with connections,</w:t>
      </w:r>
      <w:r>
        <w:rPr>
          <w:spacing w:val="1"/>
        </w:rPr>
        <w:t> </w:t>
      </w:r>
      <w:r>
        <w:rPr/>
        <w:t>opportunities, mentorship and support. Mr. Zell also sponsors the Samuel Zell/Robert Lurie Real Estate Center at</w:t>
      </w:r>
      <w:r>
        <w:rPr>
          <w:spacing w:val="1"/>
        </w:rPr>
        <w:t> </w:t>
      </w:r>
      <w:r>
        <w:rPr/>
        <w:t>University of Pennsylvania’s Wharton Real Estate Center. Mr. Zell is the father-in-law of Mr. Scott Peppet, who</w:t>
      </w:r>
      <w:r>
        <w:rPr>
          <w:spacing w:val="1"/>
        </w:rPr>
        <w:t> </w:t>
      </w:r>
      <w:r>
        <w:rPr/>
        <w:t>serves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Board.</w:t>
      </w:r>
    </w:p>
    <w:p>
      <w:pPr>
        <w:pStyle w:val="BodyText"/>
      </w:pPr>
    </w:p>
    <w:p>
      <w:pPr>
        <w:pStyle w:val="BodyTex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650214</wp:posOffset>
            </wp:positionH>
            <wp:positionV relativeFrom="paragraph">
              <wp:posOffset>132137</wp:posOffset>
            </wp:positionV>
            <wp:extent cx="3328279" cy="1216152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827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49" w:lineRule="auto" w:before="93"/>
        <w:ind w:left="250" w:right="341"/>
      </w:pPr>
      <w:r>
        <w:rPr/>
        <w:t>Mr. Heneghan has been Vice Chairman of the Board since May 2018 and was Co-Vice Chairman from 2013 to</w:t>
      </w:r>
      <w:r>
        <w:rPr>
          <w:spacing w:val="1"/>
        </w:rPr>
        <w:t> </w:t>
      </w:r>
      <w:r>
        <w:rPr/>
        <w:t>2018. Mr. Heneghan has been chief executive officer of Equity International, a private investment firm focused on</w:t>
      </w:r>
      <w:r>
        <w:rPr>
          <w:spacing w:val="1"/>
        </w:rPr>
        <w:t> </w:t>
      </w:r>
      <w:r>
        <w:rPr/>
        <w:t>real estate-related companies, since February 2013. Mr. Heneghan was Chief Executive Officer of the Company</w:t>
      </w:r>
      <w:r>
        <w:rPr>
          <w:spacing w:val="1"/>
        </w:rPr>
        <w:t> </w:t>
      </w:r>
      <w:r>
        <w:rPr/>
        <w:t>from January 2004 to February 2013 and President of the Company from February 2011 to May 2012. He was also</w:t>
      </w:r>
      <w:r>
        <w:rPr>
          <w:spacing w:val="-53"/>
        </w:rPr>
        <w:t> </w:t>
      </w:r>
      <w:r>
        <w:rPr/>
        <w:t>President of the Company from January 2004 to January 2008. Mr. Heneghan was President and Chief Operating</w:t>
      </w:r>
      <w:r>
        <w:rPr>
          <w:spacing w:val="1"/>
        </w:rPr>
        <w:t> </w:t>
      </w:r>
      <w:r>
        <w:rPr/>
        <w:t>Officer of the Company from May 2000 to December 2003.</w:t>
      </w:r>
      <w:r>
        <w:rPr>
          <w:spacing w:val="1"/>
        </w:rPr>
        <w:t> </w:t>
      </w:r>
      <w:r>
        <w:rPr/>
        <w:t>He was Executive Vice President, Chief Financial</w:t>
      </w:r>
      <w:r>
        <w:rPr>
          <w:spacing w:val="1"/>
        </w:rPr>
        <w:t> </w:t>
      </w:r>
      <w:r>
        <w:rPr>
          <w:spacing w:val="-1"/>
        </w:rPr>
        <w:t>Officer and Treasurer of the Company from April 1997 to May 2000, and </w:t>
      </w:r>
      <w:r>
        <w:rPr/>
        <w:t>Vice President, Chief Financial Officer and</w:t>
      </w:r>
      <w:r>
        <w:rPr>
          <w:spacing w:val="1"/>
        </w:rPr>
        <w:t> </w:t>
      </w:r>
      <w:r>
        <w:rPr/>
        <w:t>Treasurer of the Company from February 1995 to March 1997. Mr. Heneghan has been a director of Farmland</w:t>
      </w:r>
      <w:r>
        <w:rPr>
          <w:spacing w:val="1"/>
        </w:rPr>
        <w:t> </w:t>
      </w:r>
      <w:r>
        <w:rPr>
          <w:spacing w:val="-1"/>
        </w:rPr>
        <w:t>Partners </w:t>
      </w:r>
      <w:r>
        <w:rPr/>
        <w:t>Inc., a publicly traded real estate company that owns and seeks to acquire high-quality North American</w:t>
      </w:r>
      <w:r>
        <w:rPr>
          <w:spacing w:val="1"/>
        </w:rPr>
        <w:t> </w:t>
      </w:r>
      <w:r>
        <w:rPr/>
        <w:t>farmland, since December 2020.</w:t>
      </w:r>
      <w:r>
        <w:rPr>
          <w:spacing w:val="55"/>
        </w:rPr>
        <w:t> </w:t>
      </w:r>
      <w:r>
        <w:rPr/>
        <w:t>He is a senior managing director of Chai Trust.</w:t>
      </w:r>
      <w:r>
        <w:rPr>
          <w:spacing w:val="56"/>
        </w:rPr>
        <w:t> </w:t>
      </w:r>
      <w:r>
        <w:rPr/>
        <w:t>He is a member of the Urban</w:t>
      </w:r>
      <w:r>
        <w:rPr>
          <w:spacing w:val="1"/>
        </w:rPr>
        <w:t> </w:t>
      </w:r>
      <w:r>
        <w:rPr/>
        <w:t>Land</w:t>
      </w:r>
      <w:r>
        <w:rPr>
          <w:spacing w:val="-2"/>
        </w:rPr>
        <w:t> </w:t>
      </w:r>
      <w:r>
        <w:rPr/>
        <w:t>Institute’s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Exchange</w:t>
      </w:r>
      <w:r>
        <w:rPr>
          <w:spacing w:val="-1"/>
        </w:rPr>
        <w:t> </w:t>
      </w:r>
      <w:r>
        <w:rPr/>
        <w:t>Council.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ind w:left="283"/>
      </w:pPr>
      <w:r>
        <w:rPr/>
        <w:drawing>
          <wp:inline distT="0" distB="0" distL="0" distR="0">
            <wp:extent cx="2672451" cy="1122806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451" cy="112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249" w:lineRule="auto" w:before="94"/>
        <w:ind w:left="250" w:right="282"/>
      </w:pPr>
      <w:r>
        <w:rPr/>
        <w:t>Mr. Berkenfield has been a partner and the chief executive officer of Duncan Channon, a nationally acclaimed,</w:t>
      </w:r>
      <w:r>
        <w:rPr>
          <w:spacing w:val="1"/>
        </w:rPr>
        <w:t> </w:t>
      </w:r>
      <w:r>
        <w:rPr/>
        <w:t>independent advertising agency, since January 2009. Mr. Berkenfield joined Duncan Channon in January 2000 as</w:t>
      </w:r>
      <w:r>
        <w:rPr>
          <w:spacing w:val="-53"/>
        </w:rPr>
        <w:t> </w:t>
      </w:r>
      <w:r>
        <w:rPr/>
        <w:t>the agency’s general manager. Prior to 2000, Mr. Berkenfield held senior positions at Foote, Cone &amp; Belding, a</w:t>
      </w:r>
      <w:r>
        <w:rPr>
          <w:spacing w:val="1"/>
        </w:rPr>
        <w:t> </w:t>
      </w:r>
      <w:r>
        <w:rPr/>
        <w:t>global</w:t>
      </w:r>
      <w:r>
        <w:rPr>
          <w:spacing w:val="-3"/>
        </w:rPr>
        <w:t> </w:t>
      </w:r>
      <w:r>
        <w:rPr/>
        <w:t>advertising</w:t>
      </w:r>
      <w:r>
        <w:rPr>
          <w:spacing w:val="-3"/>
        </w:rPr>
        <w:t> </w:t>
      </w:r>
      <w:r>
        <w:rPr/>
        <w:t>agency,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Lintas:</w:t>
      </w:r>
      <w:r>
        <w:rPr>
          <w:spacing w:val="-3"/>
        </w:rPr>
        <w:t> </w:t>
      </w:r>
      <w:r>
        <w:rPr/>
        <w:t>NY,</w:t>
      </w:r>
      <w:r>
        <w:rPr>
          <w:spacing w:val="-3"/>
        </w:rPr>
        <w:t> </w:t>
      </w:r>
      <w:r>
        <w:rPr/>
        <w:t>an</w:t>
      </w:r>
      <w:r>
        <w:rPr>
          <w:spacing w:val="-2"/>
        </w:rPr>
        <w:t> </w:t>
      </w:r>
      <w:r>
        <w:rPr/>
        <w:t>advertising</w:t>
      </w:r>
      <w:r>
        <w:rPr>
          <w:spacing w:val="-3"/>
        </w:rPr>
        <w:t> </w:t>
      </w:r>
      <w:r>
        <w:rPr/>
        <w:t>communications</w:t>
      </w:r>
      <w:r>
        <w:rPr>
          <w:spacing w:val="-3"/>
        </w:rPr>
        <w:t> </w:t>
      </w:r>
      <w:r>
        <w:rPr/>
        <w:t>company.</w:t>
      </w: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1">
            <wp:simplePos x="0" y="0"/>
            <wp:positionH relativeFrom="page">
              <wp:posOffset>671760</wp:posOffset>
            </wp:positionH>
            <wp:positionV relativeFrom="paragraph">
              <wp:posOffset>225573</wp:posOffset>
            </wp:positionV>
            <wp:extent cx="2133678" cy="1106804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78" cy="110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</w:pPr>
    </w:p>
    <w:p>
      <w:pPr>
        <w:pStyle w:val="BodyText"/>
        <w:spacing w:line="249" w:lineRule="auto"/>
        <w:ind w:left="250" w:right="282"/>
      </w:pPr>
      <w:r>
        <w:rPr/>
        <w:t>Mr. Burks was a partner at Ernst &amp; Young, LLP, a public accounting firm, from 2002 until his retirement in 2017 and</w:t>
      </w:r>
      <w:r>
        <w:rPr>
          <w:spacing w:val="1"/>
        </w:rPr>
        <w:t> </w:t>
      </w:r>
      <w:r>
        <w:rPr>
          <w:spacing w:val="-1"/>
        </w:rPr>
        <w:t>served as the </w:t>
      </w:r>
      <w:r>
        <w:rPr/>
        <w:t>managing partner of the Indianapolis office from 2004 to 2017. Mr. Burks was employed by Arthur</w:t>
      </w:r>
      <w:r>
        <w:rPr>
          <w:spacing w:val="1"/>
        </w:rPr>
        <w:t> </w:t>
      </w:r>
      <w:r>
        <w:rPr/>
        <w:t>Andersen, a public accounting firm, from 1978 to 2002, where he served for three years as the managing partner of</w:t>
      </w:r>
      <w:r>
        <w:rPr>
          <w:spacing w:val="1"/>
        </w:rPr>
        <w:t> </w:t>
      </w:r>
      <w:r>
        <w:rPr/>
        <w:t>the Indianapolis office. Mr. Burks has been a director of Duke Energy, a publicly traded electric power holding</w:t>
      </w:r>
      <w:r>
        <w:rPr>
          <w:spacing w:val="1"/>
        </w:rPr>
        <w:t> </w:t>
      </w:r>
      <w:r>
        <w:rPr/>
        <w:t>company, since March 2022. Mr. Burks has been a director of Kite Realty Group Trust, a publicly traded shopping</w:t>
      </w:r>
      <w:r>
        <w:rPr>
          <w:spacing w:val="1"/>
        </w:rPr>
        <w:t> </w:t>
      </w:r>
      <w:r>
        <w:rPr/>
        <w:t>mall REIT, since 2021. Mr. Burks was a director of Vectren Corporation, a publicly traded regional energy company,</w:t>
      </w:r>
      <w:r>
        <w:rPr>
          <w:spacing w:val="-53"/>
        </w:rPr>
        <w:t> </w:t>
      </w:r>
      <w:r>
        <w:rPr>
          <w:spacing w:val="-1"/>
        </w:rPr>
        <w:t>from 2017 </w:t>
      </w:r>
      <w:r>
        <w:rPr/>
        <w:t>until the time of its sale in 2019 and was a member of its Audit Committee and Finance Committee. Mr.</w:t>
      </w:r>
      <w:r>
        <w:rPr>
          <w:spacing w:val="1"/>
        </w:rPr>
        <w:t> </w:t>
      </w:r>
      <w:r>
        <w:rPr/>
        <w:t>Burks’ business experience spans small businesses, large international corporations and public companies. He has</w:t>
      </w:r>
      <w:r>
        <w:rPr>
          <w:spacing w:val="-53"/>
        </w:rPr>
        <w:t> </w:t>
      </w:r>
      <w:r>
        <w:rPr/>
        <w:t>extensive merger and acquisition, capital markets, enterprise risk and SEC expertise. Throughout his career he has</w:t>
      </w:r>
      <w:r>
        <w:rPr>
          <w:spacing w:val="-53"/>
        </w:rPr>
        <w:t> </w:t>
      </w:r>
      <w:r>
        <w:rPr/>
        <w:t>served companies in various industries, including energy, manufacturing, mass merchandising, and logistics with a</w:t>
      </w:r>
      <w:r>
        <w:rPr>
          <w:spacing w:val="1"/>
        </w:rPr>
        <w:t> </w:t>
      </w:r>
      <w:r>
        <w:rPr/>
        <w:t>focus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-1"/>
        </w:rPr>
        <w:t> </w:t>
      </w:r>
      <w:r>
        <w:rPr/>
        <w:t>25</w:t>
      </w:r>
      <w:r>
        <w:rPr>
          <w:spacing w:val="-1"/>
        </w:rPr>
        <w:t> </w:t>
      </w:r>
      <w:r>
        <w:rPr/>
        <w:t>years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real</w:t>
      </w:r>
      <w:r>
        <w:rPr>
          <w:spacing w:val="-2"/>
        </w:rPr>
        <w:t> </w:t>
      </w:r>
      <w:r>
        <w:rPr/>
        <w:t>estate</w:t>
      </w:r>
      <w:r>
        <w:rPr>
          <w:spacing w:val="-1"/>
        </w:rPr>
        <w:t> </w:t>
      </w:r>
      <w:r>
        <w:rPr/>
        <w:t>(REITs).</w:t>
      </w:r>
    </w:p>
    <w:p>
      <w:pPr>
        <w:pStyle w:val="BodyText"/>
      </w:pP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2">
            <wp:simplePos x="0" y="0"/>
            <wp:positionH relativeFrom="page">
              <wp:posOffset>650249</wp:posOffset>
            </wp:positionH>
            <wp:positionV relativeFrom="paragraph">
              <wp:posOffset>97378</wp:posOffset>
            </wp:positionV>
            <wp:extent cx="4373761" cy="1216152"/>
            <wp:effectExtent l="0" t="0" r="0" b="0"/>
            <wp:wrapTopAndBottom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761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spacing w:line="249" w:lineRule="auto"/>
        <w:ind w:left="250" w:right="294"/>
      </w:pPr>
      <w:r>
        <w:rPr/>
        <w:t>Mr. Calian has been the Board's Lead Director since 2019. Mr. Calian has been founder and managing partner of</w:t>
      </w:r>
      <w:r>
        <w:rPr>
          <w:spacing w:val="1"/>
        </w:rPr>
        <w:t> </w:t>
      </w:r>
      <w:r>
        <w:rPr/>
        <w:t>Kingsbury Partners</w:t>
      </w:r>
      <w:r>
        <w:rPr>
          <w:spacing w:val="1"/>
        </w:rPr>
        <w:t> </w:t>
      </w:r>
      <w:r>
        <w:rPr/>
        <w:t>LLC since</w:t>
      </w:r>
      <w:r>
        <w:rPr>
          <w:spacing w:val="1"/>
        </w:rPr>
        <w:t> </w:t>
      </w:r>
      <w:r>
        <w:rPr/>
        <w:t>January 2002.</w:t>
      </w:r>
      <w:r>
        <w:rPr>
          <w:spacing w:val="54"/>
        </w:rPr>
        <w:t> </w:t>
      </w:r>
      <w:r>
        <w:rPr/>
        <w:t>Kingsbury</w:t>
      </w:r>
      <w:r>
        <w:rPr>
          <w:spacing w:val="1"/>
        </w:rPr>
        <w:t> </w:t>
      </w:r>
      <w:r>
        <w:rPr/>
        <w:t>Partners LLC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private</w:t>
      </w:r>
      <w:r>
        <w:rPr>
          <w:spacing w:val="1"/>
        </w:rPr>
        <w:t> </w:t>
      </w:r>
      <w:r>
        <w:rPr/>
        <w:t>equity and</w:t>
      </w:r>
      <w:r>
        <w:rPr>
          <w:spacing w:val="1"/>
        </w:rPr>
        <w:t> </w:t>
      </w:r>
      <w:r>
        <w:rPr/>
        <w:t>consulting firm</w:t>
      </w:r>
      <w:r>
        <w:rPr>
          <w:spacing w:val="1"/>
        </w:rPr>
        <w:t> </w:t>
      </w:r>
      <w:r>
        <w:rPr/>
        <w:t>focused on</w:t>
      </w:r>
      <w:r>
        <w:rPr>
          <w:spacing w:val="1"/>
        </w:rPr>
        <w:t> </w:t>
      </w:r>
      <w:r>
        <w:rPr/>
        <w:t>providing capital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ownership skills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middle market</w:t>
      </w:r>
      <w:r>
        <w:rPr>
          <w:spacing w:val="1"/>
        </w:rPr>
        <w:t> </w:t>
      </w:r>
      <w:r>
        <w:rPr/>
        <w:t>distressed</w:t>
      </w:r>
      <w:r>
        <w:rPr>
          <w:spacing w:val="1"/>
        </w:rPr>
        <w:t> </w:t>
      </w:r>
      <w:r>
        <w:rPr/>
        <w:t>businesses.</w:t>
      </w:r>
      <w:r>
        <w:rPr>
          <w:spacing w:val="53"/>
        </w:rPr>
        <w:t> </w:t>
      </w:r>
      <w:r>
        <w:rPr/>
        <w:t>Mr. Calian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as operating partner of Waveland Investments LLC, a Chicago-based private equity firm with committed equity</w:t>
      </w:r>
      <w:r>
        <w:rPr>
          <w:spacing w:val="1"/>
        </w:rPr>
        <w:t> </w:t>
      </w:r>
      <w:r>
        <w:rPr/>
        <w:t>capital, from July 2003 until December 2019. Prior to founding Kingsbury Partners LLC, Mr. Calian was chief</w:t>
      </w:r>
      <w:r>
        <w:rPr>
          <w:spacing w:val="1"/>
        </w:rPr>
        <w:t> </w:t>
      </w:r>
      <w:r>
        <w:rPr>
          <w:spacing w:val="-1"/>
        </w:rPr>
        <w:t>executive officer of American Classic Voyages Co., a publicly traded travel </w:t>
      </w:r>
      <w:r>
        <w:rPr/>
        <w:t>and leisure company, from 1995 until</w:t>
      </w:r>
      <w:r>
        <w:rPr>
          <w:spacing w:val="1"/>
        </w:rPr>
        <w:t> </w:t>
      </w:r>
      <w:r>
        <w:rPr/>
        <w:t>2002. Mr. Calian is managing member of MCS Investment Group, LLC, a private producer and seller of mineral well</w:t>
      </w:r>
      <w:r>
        <w:rPr>
          <w:spacing w:val="-53"/>
        </w:rPr>
        <w:t> </w:t>
      </w:r>
      <w:r>
        <w:rPr/>
        <w:t>brine; Hudson Lock, LLC, a private lock and hardware manufacturer; and Lewis County Press, LLC, a community</w:t>
      </w:r>
      <w:r>
        <w:rPr>
          <w:spacing w:val="1"/>
        </w:rPr>
        <w:t> </w:t>
      </w:r>
      <w:r>
        <w:rPr/>
        <w:t>newspaper publisher. Mr. Calian is a member of the board of directors of CC - Development Group, Inc., a private</w:t>
      </w:r>
      <w:r>
        <w:rPr>
          <w:spacing w:val="1"/>
        </w:rPr>
        <w:t> </w:t>
      </w:r>
      <w:r>
        <w:rPr/>
        <w:t>owner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operator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senior</w:t>
      </w:r>
      <w:r>
        <w:rPr>
          <w:spacing w:val="-2"/>
        </w:rPr>
        <w:t> </w:t>
      </w:r>
      <w:r>
        <w:rPr/>
        <w:t>living</w:t>
      </w:r>
      <w:r>
        <w:rPr>
          <w:spacing w:val="-1"/>
        </w:rPr>
        <w:t> </w:t>
      </w:r>
      <w:r>
        <w:rPr/>
        <w:t>communities.</w:t>
      </w:r>
    </w:p>
    <w:p>
      <w:pPr>
        <w:spacing w:after="0" w:line="249" w:lineRule="auto"/>
        <w:sectPr>
          <w:pgSz w:w="12240" w:h="15840"/>
          <w:pgMar w:header="0" w:footer="517" w:top="880" w:bottom="780" w:left="740" w:right="700"/>
        </w:sectPr>
      </w:pPr>
    </w:p>
    <w:p>
      <w:pPr>
        <w:pStyle w:val="BodyText"/>
        <w:ind w:left="284"/>
      </w:pPr>
      <w:r>
        <w:rPr/>
        <w:drawing>
          <wp:inline distT="0" distB="0" distL="0" distR="0">
            <wp:extent cx="4750037" cy="1109472"/>
            <wp:effectExtent l="0" t="0" r="0" b="0"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037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7"/>
        <w:rPr>
          <w:sz w:val="9"/>
        </w:rPr>
      </w:pPr>
    </w:p>
    <w:p>
      <w:pPr>
        <w:pStyle w:val="BodyText"/>
        <w:spacing w:line="249" w:lineRule="auto" w:before="94"/>
        <w:ind w:left="250" w:right="363"/>
      </w:pPr>
      <w:r>
        <w:rPr/>
        <w:t>Mr. Contis has been a principal of Agora Advisors, Inc., which provides consulting services to domestic and</w:t>
      </w:r>
      <w:r>
        <w:rPr>
          <w:spacing w:val="1"/>
        </w:rPr>
        <w:t> </w:t>
      </w:r>
      <w:r>
        <w:rPr/>
        <w:t>international real estate and retail companies, since May 2017. Mr. Contis was president - mall platform and senior</w:t>
      </w:r>
      <w:r>
        <w:rPr>
          <w:spacing w:val="1"/>
        </w:rPr>
        <w:t> </w:t>
      </w:r>
      <w:r>
        <w:rPr/>
        <w:t>executive</w:t>
      </w:r>
      <w:r>
        <w:rPr>
          <w:spacing w:val="-6"/>
        </w:rPr>
        <w:t> </w:t>
      </w:r>
      <w:r>
        <w:rPr/>
        <w:t>vice</w:t>
      </w:r>
      <w:r>
        <w:rPr>
          <w:spacing w:val="-6"/>
        </w:rPr>
        <w:t> </w:t>
      </w:r>
      <w:r>
        <w:rPr/>
        <w:t>president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Simon</w:t>
      </w:r>
      <w:r>
        <w:rPr>
          <w:spacing w:val="-6"/>
        </w:rPr>
        <w:t> </w:t>
      </w:r>
      <w:r>
        <w:rPr/>
        <w:t>Properties</w:t>
      </w:r>
      <w:r>
        <w:rPr>
          <w:spacing w:val="-6"/>
        </w:rPr>
        <w:t> </w:t>
      </w:r>
      <w:r>
        <w:rPr/>
        <w:t>Group,</w:t>
      </w:r>
      <w:r>
        <w:rPr>
          <w:spacing w:val="-6"/>
        </w:rPr>
        <w:t> </w:t>
      </w:r>
      <w:r>
        <w:rPr/>
        <w:t>Inc.,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publicly</w:t>
      </w:r>
      <w:r>
        <w:rPr>
          <w:spacing w:val="-6"/>
        </w:rPr>
        <w:t> </w:t>
      </w:r>
      <w:r>
        <w:rPr/>
        <w:t>traded</w:t>
      </w:r>
      <w:r>
        <w:rPr>
          <w:spacing w:val="-6"/>
        </w:rPr>
        <w:t> </w:t>
      </w:r>
      <w:r>
        <w:rPr/>
        <w:t>retail</w:t>
      </w:r>
      <w:r>
        <w:rPr>
          <w:spacing w:val="-5"/>
        </w:rPr>
        <w:t> </w:t>
      </w:r>
      <w:r>
        <w:rPr/>
        <w:t>REIT,</w:t>
      </w:r>
      <w:r>
        <w:rPr>
          <w:spacing w:val="-6"/>
        </w:rPr>
        <w:t> </w:t>
      </w:r>
      <w:r>
        <w:rPr/>
        <w:t>from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2011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May</w:t>
      </w:r>
      <w:r>
        <w:rPr>
          <w:spacing w:val="-6"/>
        </w:rPr>
        <w:t> </w:t>
      </w:r>
      <w:r>
        <w:rPr/>
        <w:t>2017.</w:t>
      </w:r>
      <w:r>
        <w:rPr>
          <w:spacing w:val="1"/>
        </w:rPr>
        <w:t> </w:t>
      </w:r>
      <w:r>
        <w:rPr/>
        <w:t>Mr. Contis was president of real estate for EGI from November 2006 to May 2011. He was executive vice president</w:t>
      </w:r>
      <w:r>
        <w:rPr>
          <w:spacing w:val="-53"/>
        </w:rPr>
        <w:t> </w:t>
      </w:r>
      <w:r>
        <w:rPr/>
        <w:t>and chief operating officer of The Macerich Company, a publicly traded shopping center REIT, from May 1997 to</w:t>
      </w:r>
      <w:r>
        <w:rPr>
          <w:spacing w:val="1"/>
        </w:rPr>
        <w:t> </w:t>
      </w:r>
      <w:r>
        <w:rPr/>
        <w:t>October 2006. Mr. Contis was employed in various capacities by affiliates of EGI from 1980 to 1997, including as</w:t>
      </w:r>
      <w:r>
        <w:rPr>
          <w:spacing w:val="1"/>
        </w:rPr>
        <w:t> </w:t>
      </w:r>
      <w:r>
        <w:rPr/>
        <w:t>vice chairman, executive vice president and chief operating officer of Equity Properties &amp; Development L.P., from</w:t>
      </w:r>
      <w:r>
        <w:rPr>
          <w:spacing w:val="1"/>
        </w:rPr>
        <w:t> </w:t>
      </w:r>
      <w:r>
        <w:rPr/>
        <w:t>1992 to 1997.</w:t>
      </w:r>
      <w:r>
        <w:rPr>
          <w:spacing w:val="1"/>
        </w:rPr>
        <w:t> </w:t>
      </w:r>
      <w:r>
        <w:rPr/>
        <w:t>Mr. Contis has been a director of CBL Properties, a publicly traded retail REIT since 2021.</w:t>
      </w:r>
      <w:r>
        <w:rPr>
          <w:spacing w:val="56"/>
        </w:rPr>
        <w:t> </w:t>
      </w:r>
      <w:r>
        <w:rPr/>
        <w:t>He</w:t>
      </w:r>
      <w:r>
        <w:rPr>
          <w:spacing w:val="1"/>
        </w:rPr>
        <w:t> </w:t>
      </w:r>
      <w:r>
        <w:rPr/>
        <w:t>served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directors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BRMalls,</w:t>
      </w:r>
      <w:r>
        <w:rPr>
          <w:spacing w:val="-4"/>
        </w:rPr>
        <w:t> </w:t>
      </w:r>
      <w:r>
        <w:rPr/>
        <w:t>Brazil’s</w:t>
      </w:r>
      <w:r>
        <w:rPr>
          <w:spacing w:val="-4"/>
        </w:rPr>
        <w:t> </w:t>
      </w:r>
      <w:r>
        <w:rPr/>
        <w:t>largest</w:t>
      </w:r>
      <w:r>
        <w:rPr>
          <w:spacing w:val="-3"/>
        </w:rPr>
        <w:t> </w:t>
      </w:r>
      <w:r>
        <w:rPr/>
        <w:t>shopping</w:t>
      </w:r>
      <w:r>
        <w:rPr>
          <w:spacing w:val="-4"/>
        </w:rPr>
        <w:t> </w:t>
      </w:r>
      <w:r>
        <w:rPr/>
        <w:t>center</w:t>
      </w:r>
      <w:r>
        <w:rPr>
          <w:spacing w:val="-4"/>
        </w:rPr>
        <w:t> </w:t>
      </w:r>
      <w:r>
        <w:rPr/>
        <w:t>company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2008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2011.</w:t>
      </w:r>
      <w:r>
        <w:rPr>
          <w:spacing w:val="49"/>
        </w:rPr>
        <w:t> </w:t>
      </w:r>
      <w:r>
        <w:rPr/>
        <w:t>Mr.</w:t>
      </w:r>
    </w:p>
    <w:p>
      <w:pPr>
        <w:pStyle w:val="BodyText"/>
        <w:spacing w:line="249" w:lineRule="auto" w:before="7"/>
        <w:ind w:left="250" w:right="282"/>
      </w:pPr>
      <w:r>
        <w:rPr/>
        <w:t>Contis was a director and served as a member of the board of directors, compensation committee and audit</w:t>
      </w:r>
      <w:r>
        <w:rPr>
          <w:spacing w:val="1"/>
        </w:rPr>
        <w:t> </w:t>
      </w:r>
      <w:r>
        <w:rPr/>
        <w:t>committee of Dundee Realty Corp., a Canadian-based real estate company, from 1997 to 2003.</w:t>
      </w:r>
      <w:r>
        <w:rPr>
          <w:spacing w:val="1"/>
        </w:rPr>
        <w:t> </w:t>
      </w:r>
      <w:r>
        <w:rPr/>
        <w:t>Mr. Contis is an</w:t>
      </w:r>
      <w:r>
        <w:rPr>
          <w:spacing w:val="-53"/>
        </w:rPr>
        <w:t> </w:t>
      </w:r>
      <w:r>
        <w:rPr/>
        <w:t>advisor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Equity</w:t>
      </w:r>
      <w:r>
        <w:rPr>
          <w:spacing w:val="-2"/>
        </w:rPr>
        <w:t> </w:t>
      </w:r>
      <w:r>
        <w:rPr/>
        <w:t>International.</w:t>
      </w:r>
      <w:r>
        <w:rPr>
          <w:spacing w:val="53"/>
        </w:rPr>
        <w:t> </w:t>
      </w:r>
      <w:r>
        <w:rPr/>
        <w:t>He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senior</w:t>
      </w:r>
      <w:r>
        <w:rPr>
          <w:spacing w:val="-2"/>
        </w:rPr>
        <w:t> </w:t>
      </w:r>
      <w:r>
        <w:rPr/>
        <w:t>managing</w:t>
      </w:r>
      <w:r>
        <w:rPr>
          <w:spacing w:val="-1"/>
        </w:rPr>
        <w:t> </w:t>
      </w:r>
      <w:r>
        <w:rPr/>
        <w:t>director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Chai</w:t>
      </w:r>
      <w:r>
        <w:rPr>
          <w:spacing w:val="-5"/>
        </w:rPr>
        <w:t> </w:t>
      </w:r>
      <w:r>
        <w:rPr/>
        <w:t>Trust.</w:t>
      </w:r>
    </w:p>
    <w:p>
      <w:pPr>
        <w:pStyle w:val="BodyText"/>
      </w:pPr>
    </w:p>
    <w:p>
      <w:pPr>
        <w:pStyle w:val="BodyText"/>
        <w:spacing w:before="2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679675</wp:posOffset>
            </wp:positionH>
            <wp:positionV relativeFrom="paragraph">
              <wp:posOffset>199631</wp:posOffset>
            </wp:positionV>
            <wp:extent cx="4387173" cy="1093470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7173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1"/>
        </w:rPr>
      </w:pPr>
    </w:p>
    <w:p>
      <w:pPr>
        <w:pStyle w:val="BodyText"/>
        <w:spacing w:line="249" w:lineRule="auto" w:before="93"/>
        <w:ind w:left="250" w:right="282"/>
      </w:pPr>
      <w:r>
        <w:rPr/>
        <w:t>Ms. Freedman is the founder and managing partner of Moderne Ventures, an early stage investment fund she</w:t>
      </w:r>
      <w:r>
        <w:rPr>
          <w:spacing w:val="1"/>
        </w:rPr>
        <w:t> </w:t>
      </w:r>
      <w:r>
        <w:rPr/>
        <w:t>founded in 2015 that is focused on technology companies in and around real estate, finance, insurance and home</w:t>
      </w:r>
      <w:r>
        <w:rPr>
          <w:spacing w:val="1"/>
        </w:rPr>
        <w:t> </w:t>
      </w:r>
      <w:r>
        <w:rPr/>
        <w:t>services.</w:t>
      </w:r>
      <w:r>
        <w:rPr>
          <w:spacing w:val="-5"/>
        </w:rPr>
        <w:t> </w:t>
      </w:r>
      <w:r>
        <w:rPr/>
        <w:t>Prior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Moderne</w:t>
      </w:r>
      <w:r>
        <w:rPr>
          <w:spacing w:val="-5"/>
        </w:rPr>
        <w:t> </w:t>
      </w:r>
      <w:r>
        <w:rPr/>
        <w:t>Ventures,</w:t>
      </w:r>
      <w:r>
        <w:rPr>
          <w:spacing w:val="-5"/>
        </w:rPr>
        <w:t> </w:t>
      </w:r>
      <w:r>
        <w:rPr/>
        <w:t>Ms.</w:t>
      </w:r>
      <w:r>
        <w:rPr>
          <w:spacing w:val="-5"/>
        </w:rPr>
        <w:t> </w:t>
      </w:r>
      <w:r>
        <w:rPr/>
        <w:t>Freedman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vice</w:t>
      </w:r>
      <w:r>
        <w:rPr>
          <w:spacing w:val="-5"/>
        </w:rPr>
        <w:t> </w:t>
      </w:r>
      <w:r>
        <w:rPr/>
        <w:t>president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strategic</w:t>
      </w:r>
      <w:r>
        <w:rPr>
          <w:spacing w:val="-5"/>
        </w:rPr>
        <w:t> </w:t>
      </w:r>
      <w:r>
        <w:rPr/>
        <w:t>investments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National</w:t>
      </w:r>
      <w:r>
        <w:rPr>
          <w:spacing w:val="1"/>
        </w:rPr>
        <w:t> </w:t>
      </w:r>
      <w:r>
        <w:rPr/>
        <w:t>Association of Realtors where she launched the investment fund Second Century Ventures in 2008, and founded</w:t>
      </w:r>
      <w:r>
        <w:rPr>
          <w:spacing w:val="1"/>
        </w:rPr>
        <w:t> </w:t>
      </w:r>
      <w:r>
        <w:rPr/>
        <w:t>REach,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technology</w:t>
      </w:r>
      <w:r>
        <w:rPr>
          <w:spacing w:val="-1"/>
        </w:rPr>
        <w:t> </w:t>
      </w:r>
      <w:r>
        <w:rPr/>
        <w:t>accelerator,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2012.</w:t>
      </w:r>
    </w:p>
    <w:p>
      <w:pPr>
        <w:pStyle w:val="BodyText"/>
      </w:pPr>
    </w:p>
    <w:p>
      <w:pPr>
        <w:pStyle w:val="BodyText"/>
        <w:spacing w:before="9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650223</wp:posOffset>
            </wp:positionH>
            <wp:positionV relativeFrom="paragraph">
              <wp:posOffset>131002</wp:posOffset>
            </wp:positionV>
            <wp:extent cx="3051074" cy="1093470"/>
            <wp:effectExtent l="0" t="0" r="0" b="0"/>
            <wp:wrapTopAndBottom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1074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3"/>
        </w:rPr>
      </w:pPr>
    </w:p>
    <w:p>
      <w:pPr>
        <w:pStyle w:val="BodyText"/>
        <w:spacing w:line="249" w:lineRule="auto" w:before="94"/>
        <w:ind w:left="250" w:right="321"/>
      </w:pPr>
      <w:r>
        <w:rPr/>
        <w:t>Ms. Nader has been President and CEO of the Company since February 2013.</w:t>
      </w:r>
      <w:r>
        <w:rPr>
          <w:spacing w:val="1"/>
        </w:rPr>
        <w:t> </w:t>
      </w:r>
      <w:r>
        <w:rPr/>
        <w:t>She was President and Chief</w:t>
      </w:r>
      <w:r>
        <w:rPr>
          <w:spacing w:val="1"/>
        </w:rPr>
        <w:t> </w:t>
      </w:r>
      <w:r>
        <w:rPr/>
        <w:t>Financial Officer from May 2012 to October 2012 and Executive Vice President and Chief Financial Officer from</w:t>
      </w:r>
      <w:r>
        <w:rPr>
          <w:spacing w:val="1"/>
        </w:rPr>
        <w:t> </w:t>
      </w:r>
      <w:r>
        <w:rPr/>
        <w:t>December 2011 to May 2012.</w:t>
      </w:r>
      <w:r>
        <w:rPr>
          <w:spacing w:val="55"/>
        </w:rPr>
        <w:t> </w:t>
      </w:r>
      <w:r>
        <w:rPr/>
        <w:t>Ms. Nader was Executive Vice President - New Business Development from</w:t>
      </w:r>
      <w:r>
        <w:rPr>
          <w:spacing w:val="1"/>
        </w:rPr>
        <w:t> </w:t>
      </w:r>
      <w:r>
        <w:rPr/>
        <w:t>February 2011 to December 2011. She was Executive Vice President - Sales and Marketing from February 2009 to</w:t>
      </w:r>
      <w:r>
        <w:rPr>
          <w:spacing w:val="-53"/>
        </w:rPr>
        <w:t> </w:t>
      </w:r>
      <w:r>
        <w:rPr/>
        <w:t>February 2011.</w:t>
      </w:r>
      <w:r>
        <w:rPr>
          <w:spacing w:val="1"/>
        </w:rPr>
        <w:t> </w:t>
      </w:r>
      <w:r>
        <w:rPr/>
        <w:t>Ms. Nader was Senior Vice President of New Business Development from January 2007 to</w:t>
      </w:r>
      <w:r>
        <w:rPr>
          <w:spacing w:val="1"/>
        </w:rPr>
        <w:t> </w:t>
      </w:r>
      <w:r>
        <w:rPr/>
        <w:t>February 2009.</w:t>
      </w:r>
      <w:r>
        <w:rPr>
          <w:spacing w:val="1"/>
        </w:rPr>
        <w:t> </w:t>
      </w:r>
      <w:r>
        <w:rPr/>
        <w:t>She was Vice President of New Business Development from January 2001 to January 2007.</w:t>
      </w:r>
      <w:r>
        <w:rPr>
          <w:spacing w:val="1"/>
        </w:rPr>
        <w:t> </w:t>
      </w:r>
      <w:r>
        <w:rPr/>
        <w:t>Ms.</w:t>
      </w:r>
      <w:r>
        <w:rPr>
          <w:spacing w:val="1"/>
        </w:rPr>
        <w:t> </w:t>
      </w:r>
      <w:r>
        <w:rPr>
          <w:spacing w:val="-1"/>
        </w:rPr>
        <w:t>Nader was Vice President </w:t>
      </w:r>
      <w:r>
        <w:rPr/>
        <w:t>of Asset Management from January 1998 to January 2001. She has been employed with</w:t>
      </w:r>
      <w:r>
        <w:rPr>
          <w:spacing w:val="1"/>
        </w:rPr>
        <w:t> </w:t>
      </w:r>
      <w:r>
        <w:rPr/>
        <w:t>the Company since 1993. Ms. Nader has been a director of Ventas, a publicly traded healthcare REIT since 2020.</w:t>
      </w:r>
      <w:r>
        <w:rPr>
          <w:spacing w:val="1"/>
        </w:rPr>
        <w:t> </w:t>
      </w:r>
      <w:r>
        <w:rPr/>
        <w:t>Ms. Nader was a trustee of Liberty Property Trust, a publicly traded industrial REIT, from June 2017, until its sale in</w:t>
      </w:r>
      <w:r>
        <w:rPr>
          <w:spacing w:val="1"/>
        </w:rPr>
        <w:t> </w:t>
      </w:r>
      <w:r>
        <w:rPr/>
        <w:t>2020.</w:t>
      </w:r>
      <w:r>
        <w:rPr>
          <w:spacing w:val="55"/>
        </w:rPr>
        <w:t> </w:t>
      </w:r>
      <w:r>
        <w:rPr/>
        <w:t>Ms. Nader serves as Chair on the National Association of Real Estate Investment Trust ("NAREIT")</w:t>
      </w:r>
      <w:r>
        <w:rPr>
          <w:spacing w:val="1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Board.</w:t>
      </w:r>
    </w:p>
    <w:p>
      <w:pPr>
        <w:spacing w:after="0" w:line="249" w:lineRule="auto"/>
        <w:sectPr>
          <w:pgSz w:w="12240" w:h="15840"/>
          <w:pgMar w:header="0" w:footer="517" w:top="880" w:bottom="780" w:left="740" w:right="700"/>
        </w:sectPr>
      </w:pPr>
    </w:p>
    <w:p>
      <w:pPr>
        <w:pStyle w:val="BodyText"/>
        <w:ind w:left="300"/>
      </w:pPr>
      <w:r>
        <w:rPr/>
        <w:drawing>
          <wp:inline distT="0" distB="0" distL="0" distR="0">
            <wp:extent cx="2677796" cy="1096136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796" cy="109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  <w:spacing w:before="8"/>
        <w:rPr>
          <w:sz w:val="10"/>
        </w:rPr>
      </w:pPr>
    </w:p>
    <w:p>
      <w:pPr>
        <w:pStyle w:val="BodyText"/>
        <w:spacing w:line="249" w:lineRule="auto" w:before="94"/>
        <w:ind w:left="250" w:right="282"/>
      </w:pPr>
      <w:r>
        <w:rPr/>
        <w:t>Mr. Peppet is president and senior managing director of the Chai Trust. Mr. Peppet is an advisor to Equity</w:t>
      </w:r>
      <w:r>
        <w:rPr>
          <w:spacing w:val="1"/>
        </w:rPr>
        <w:t> </w:t>
      </w:r>
      <w:r>
        <w:rPr>
          <w:spacing w:val="-1"/>
        </w:rPr>
        <w:t>International.</w:t>
      </w:r>
      <w:r>
        <w:rPr/>
        <w:t> </w:t>
      </w:r>
      <w:r>
        <w:rPr>
          <w:spacing w:val="-1"/>
        </w:rPr>
        <w:t>Mr. Peppet was a director of Anixter International, Inc., a publicly </w:t>
      </w:r>
      <w:r>
        <w:rPr/>
        <w:t>traded global distributor of network,</w:t>
      </w:r>
      <w:r>
        <w:rPr>
          <w:spacing w:val="1"/>
        </w:rPr>
        <w:t> </w:t>
      </w:r>
      <w:r>
        <w:rPr/>
        <w:t>electronic and utility power solutions, from 2014 until its sale in June 2020. Mr. Peppet brings experience in</w:t>
      </w:r>
      <w:r>
        <w:rPr>
          <w:spacing w:val="1"/>
        </w:rPr>
        <w:t> </w:t>
      </w:r>
      <w:r>
        <w:rPr/>
        <w:t>contracts, negotiations, complex transactions, legal ethics, privacy law and technology to the Board along with an</w:t>
      </w:r>
      <w:r>
        <w:rPr>
          <w:spacing w:val="1"/>
        </w:rPr>
        <w:t> </w:t>
      </w:r>
      <w:r>
        <w:rPr/>
        <w:t>outstanding record of leadership and deep experience in the legal field. Mr. Peppet is the son-in-law of Mr. Samuel</w:t>
      </w:r>
      <w:r>
        <w:rPr>
          <w:spacing w:val="-53"/>
        </w:rPr>
        <w:t> </w:t>
      </w:r>
      <w:r>
        <w:rPr/>
        <w:t>Zell, who serves as Chairman of the Board. Mr. Peppet was a Professor of Law at the University of Colorado Law</w:t>
      </w:r>
      <w:r>
        <w:rPr>
          <w:spacing w:val="1"/>
        </w:rPr>
        <w:t> </w:t>
      </w:r>
      <w:r>
        <w:rPr/>
        <w:t>School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2000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2019.</w:t>
      </w:r>
    </w:p>
    <w:p>
      <w:pPr>
        <w:pStyle w:val="BodyText"/>
        <w:spacing w:before="1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650232</wp:posOffset>
            </wp:positionH>
            <wp:positionV relativeFrom="paragraph">
              <wp:posOffset>220489</wp:posOffset>
            </wp:positionV>
            <wp:extent cx="4480724" cy="1093470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724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1"/>
        </w:rPr>
      </w:pPr>
    </w:p>
    <w:p>
      <w:pPr>
        <w:pStyle w:val="BodyText"/>
        <w:spacing w:line="249" w:lineRule="auto"/>
        <w:ind w:left="250" w:right="565"/>
        <w:jc w:val="both"/>
      </w:pPr>
      <w:r>
        <w:rPr/>
        <w:t>Ms. Rosenberg was the Board's Lead Director from 2002 to 2019. Ms. Rosenberg was a consultant to Skadden,</w:t>
      </w:r>
      <w:r>
        <w:rPr>
          <w:spacing w:val="1"/>
        </w:rPr>
        <w:t> </w:t>
      </w:r>
      <w:r>
        <w:rPr>
          <w:spacing w:val="-1"/>
        </w:rPr>
        <w:t>Arps, Slate, Meagher </w:t>
      </w:r>
      <w:r>
        <w:rPr/>
        <w:t>&amp; Flom LLP from January 2014 through 2016 and was Of Counsel at Skadden, Arps, Slate,</w:t>
      </w:r>
      <w:r>
        <w:rPr>
          <w:spacing w:val="-54"/>
        </w:rPr>
        <w:t> </w:t>
      </w:r>
      <w:r>
        <w:rPr/>
        <w:t>Meagher &amp; Flom LLP from May 2011 to December 2013. She is the former president, chief executive officer and</w:t>
      </w:r>
      <w:r>
        <w:rPr>
          <w:spacing w:val="1"/>
        </w:rPr>
        <w:t> </w:t>
      </w:r>
      <w:r>
        <w:rPr/>
        <w:t>vice chairman of EGI. Ms. Rosenberg joined EGI in 1980 as the company's general counsel and rose to become</w:t>
      </w:r>
      <w:r>
        <w:rPr>
          <w:spacing w:val="1"/>
        </w:rPr>
        <w:t> </w:t>
      </w:r>
      <w:r>
        <w:rPr/>
        <w:t>chief</w:t>
      </w:r>
      <w:r>
        <w:rPr>
          <w:spacing w:val="-3"/>
        </w:rPr>
        <w:t> </w:t>
      </w:r>
      <w:r>
        <w:rPr/>
        <w:t>executive</w:t>
      </w:r>
      <w:r>
        <w:rPr>
          <w:spacing w:val="-3"/>
        </w:rPr>
        <w:t> </w:t>
      </w:r>
      <w:r>
        <w:rPr/>
        <w:t>officer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1990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2000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vice</w:t>
      </w:r>
      <w:r>
        <w:rPr>
          <w:spacing w:val="-3"/>
        </w:rPr>
        <w:t> </w:t>
      </w:r>
      <w:r>
        <w:rPr/>
        <w:t>chairman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2000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2003</w:t>
      </w:r>
      <w:r>
        <w:rPr>
          <w:spacing w:val="-3"/>
        </w:rPr>
        <w:t> </w:t>
      </w:r>
      <w:r>
        <w:rPr/>
        <w:t>before</w:t>
      </w:r>
      <w:r>
        <w:rPr>
          <w:spacing w:val="-3"/>
        </w:rPr>
        <w:t> </w:t>
      </w:r>
      <w:r>
        <w:rPr/>
        <w:t>retiring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2003.</w:t>
      </w:r>
      <w:r>
        <w:rPr>
          <w:spacing w:val="50"/>
        </w:rPr>
        <w:t> </w:t>
      </w:r>
      <w:r>
        <w:rPr/>
        <w:t>Ms.</w:t>
      </w:r>
    </w:p>
    <w:p>
      <w:pPr>
        <w:pStyle w:val="BodyText"/>
        <w:spacing w:line="249" w:lineRule="auto" w:before="4"/>
        <w:ind w:left="250" w:right="321"/>
      </w:pPr>
      <w:r>
        <w:rPr/>
        <w:t>Rosenberg was a principal of the law firm of Rosenberg &amp; Liebentritt from 1980 to 1997.</w:t>
      </w:r>
      <w:r>
        <w:rPr>
          <w:spacing w:val="1"/>
        </w:rPr>
        <w:t> </w:t>
      </w:r>
      <w:r>
        <w:rPr/>
        <w:t>Ms. Rosenberg is an</w:t>
      </w:r>
      <w:r>
        <w:rPr>
          <w:spacing w:val="1"/>
        </w:rPr>
        <w:t> </w:t>
      </w:r>
      <w:r>
        <w:rPr/>
        <w:t>advisor to Equity International. Ms. Rosenberg was the lead director of Strategic Hotels &amp; Resorts, Inc., a publicly</w:t>
      </w:r>
      <w:r>
        <w:rPr>
          <w:spacing w:val="1"/>
        </w:rPr>
        <w:t> </w:t>
      </w:r>
      <w:r>
        <w:rPr/>
        <w:t>traded</w:t>
      </w:r>
      <w:r>
        <w:rPr>
          <w:spacing w:val="-6"/>
        </w:rPr>
        <w:t> </w:t>
      </w:r>
      <w:r>
        <w:rPr/>
        <w:t>hotel</w:t>
      </w:r>
      <w:r>
        <w:rPr>
          <w:spacing w:val="-6"/>
        </w:rPr>
        <w:t> </w:t>
      </w:r>
      <w:r>
        <w:rPr/>
        <w:t>REIT,</w:t>
      </w:r>
      <w:r>
        <w:rPr>
          <w:spacing w:val="-6"/>
        </w:rPr>
        <w:t> </w:t>
      </w:r>
      <w:r>
        <w:rPr/>
        <w:t>until</w:t>
      </w:r>
      <w:r>
        <w:rPr>
          <w:spacing w:val="-6"/>
        </w:rPr>
        <w:t> </w:t>
      </w:r>
      <w:r>
        <w:rPr/>
        <w:t>its</w:t>
      </w:r>
      <w:r>
        <w:rPr>
          <w:spacing w:val="-5"/>
        </w:rPr>
        <w:t> </w:t>
      </w:r>
      <w:r>
        <w:rPr/>
        <w:t>sale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2015,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Cellular</w:t>
      </w:r>
      <w:r>
        <w:rPr>
          <w:spacing w:val="-6"/>
        </w:rPr>
        <w:t> </w:t>
      </w:r>
      <w:r>
        <w:rPr/>
        <w:t>Dynamics</w:t>
      </w:r>
      <w:r>
        <w:rPr>
          <w:spacing w:val="-6"/>
        </w:rPr>
        <w:t> </w:t>
      </w:r>
      <w:r>
        <w:rPr/>
        <w:t>International,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publicly</w:t>
      </w:r>
      <w:r>
        <w:rPr>
          <w:spacing w:val="-6"/>
        </w:rPr>
        <w:t> </w:t>
      </w:r>
      <w:r>
        <w:rPr/>
        <w:t>traded</w:t>
      </w:r>
      <w:r>
        <w:rPr>
          <w:spacing w:val="-6"/>
        </w:rPr>
        <w:t> </w:t>
      </w:r>
      <w:r>
        <w:rPr/>
        <w:t>producer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stem</w:t>
      </w:r>
      <w:r>
        <w:rPr>
          <w:spacing w:val="-6"/>
        </w:rPr>
        <w:t> </w:t>
      </w:r>
      <w:r>
        <w:rPr/>
        <w:t>cells</w:t>
      </w:r>
      <w:r>
        <w:rPr>
          <w:spacing w:val="1"/>
        </w:rPr>
        <w:t> </w:t>
      </w:r>
      <w:r>
        <w:rPr/>
        <w:t>utilized primarily in research, until its sale in 2015. She was a former director of Rush Street Interactive, Inc., Spirit</w:t>
      </w:r>
      <w:r>
        <w:rPr>
          <w:spacing w:val="1"/>
        </w:rPr>
        <w:t> </w:t>
      </w:r>
      <w:r>
        <w:rPr>
          <w:spacing w:val="-1"/>
        </w:rPr>
        <w:t>Realty Capital, Inc., General Growth </w:t>
      </w:r>
      <w:r>
        <w:rPr/>
        <w:t>Properties, Inc., CVS Caremark Corporation, Capital Trust, Inc., Avis Budget</w:t>
      </w:r>
      <w:r>
        <w:rPr>
          <w:spacing w:val="1"/>
        </w:rPr>
        <w:t> </w:t>
      </w:r>
      <w:r>
        <w:rPr/>
        <w:t>Group, Inc., Nanosphere, Inc., and Ventas, Inc., and a former trustee of Equity Residential and Equity Office</w:t>
      </w:r>
      <w:r>
        <w:rPr>
          <w:spacing w:val="1"/>
        </w:rPr>
        <w:t> </w:t>
      </w:r>
      <w:r>
        <w:rPr/>
        <w:t>Properties, all of which were publicly traded companies. Ms. Rosenberg was an adjunct professor at Northwestern</w:t>
      </w:r>
      <w:r>
        <w:rPr>
          <w:spacing w:val="1"/>
        </w:rPr>
        <w:t> </w:t>
      </w:r>
      <w:r>
        <w:rPr>
          <w:spacing w:val="-1"/>
        </w:rPr>
        <w:t>University's J.L. Kellogg </w:t>
      </w:r>
      <w:r>
        <w:rPr/>
        <w:t>Graduate School of Management from 2003 until 2007. A recognized advocate for women</w:t>
      </w:r>
      <w:r>
        <w:rPr>
          <w:spacing w:val="1"/>
        </w:rPr>
        <w:t> </w:t>
      </w:r>
      <w:r>
        <w:rPr/>
        <w:t>in business, she is a co-founder and former president of the Center for Executive Women at the Kellogg School,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she</w:t>
      </w:r>
      <w:r>
        <w:rPr>
          <w:spacing w:val="-1"/>
        </w:rPr>
        <w:t> </w:t>
      </w:r>
      <w:r>
        <w:rPr/>
        <w:t>continues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serve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Center’s</w:t>
      </w:r>
      <w:r>
        <w:rPr>
          <w:spacing w:val="-1"/>
        </w:rPr>
        <w:t> </w:t>
      </w:r>
      <w:r>
        <w:rPr/>
        <w:t>steering</w:t>
      </w:r>
      <w:r>
        <w:rPr>
          <w:spacing w:val="-1"/>
        </w:rPr>
        <w:t> </w:t>
      </w:r>
      <w:r>
        <w:rPr/>
        <w:t>committee.</w:t>
      </w:r>
    </w:p>
    <w:p>
      <w:pPr>
        <w:spacing w:after="0" w:line="249" w:lineRule="auto"/>
        <w:sectPr>
          <w:pgSz w:w="12240" w:h="15840"/>
          <w:pgMar w:header="0" w:footer="517" w:top="880" w:bottom="780" w:left="740" w:right="700"/>
        </w:sectPr>
      </w:pPr>
    </w:p>
    <w:p>
      <w:pPr>
        <w:pStyle w:val="Heading2"/>
        <w:spacing w:before="64"/>
      </w:pPr>
      <w:bookmarkStart w:name="Director Compensation" w:id="48"/>
      <w:bookmarkEnd w:id="48"/>
      <w:r>
        <w:rPr>
          <w:b w:val="0"/>
        </w:rPr>
      </w:r>
      <w:bookmarkStart w:name="_bookmark20" w:id="49"/>
      <w:bookmarkEnd w:id="49"/>
      <w:r>
        <w:rPr>
          <w:b w:val="0"/>
        </w:rPr>
      </w:r>
      <w:r>
        <w:rPr>
          <w:color w:val="00539E"/>
        </w:rPr>
        <w:t>Director</w:t>
      </w:r>
      <w:r>
        <w:rPr>
          <w:color w:val="00539E"/>
          <w:spacing w:val="-9"/>
        </w:rPr>
        <w:t> </w:t>
      </w:r>
      <w:r>
        <w:rPr>
          <w:color w:val="00539E"/>
        </w:rPr>
        <w:t>Compensation</w:t>
      </w:r>
    </w:p>
    <w:p>
      <w:pPr>
        <w:pStyle w:val="BodyText"/>
        <w:spacing w:line="249" w:lineRule="auto" w:before="221"/>
        <w:ind w:left="250"/>
      </w:pPr>
      <w:r>
        <w:rPr/>
        <w:t>The</w:t>
      </w:r>
      <w:r>
        <w:rPr>
          <w:spacing w:val="44"/>
        </w:rPr>
        <w:t> </w:t>
      </w:r>
      <w:r>
        <w:rPr/>
        <w:t>following</w:t>
      </w:r>
      <w:r>
        <w:rPr>
          <w:spacing w:val="45"/>
        </w:rPr>
        <w:t> </w:t>
      </w:r>
      <w:r>
        <w:rPr/>
        <w:t>table</w:t>
      </w:r>
      <w:r>
        <w:rPr>
          <w:spacing w:val="44"/>
        </w:rPr>
        <w:t> </w:t>
      </w:r>
      <w:r>
        <w:rPr/>
        <w:t>includes</w:t>
      </w:r>
      <w:r>
        <w:rPr>
          <w:spacing w:val="45"/>
        </w:rPr>
        <w:t> </w:t>
      </w:r>
      <w:r>
        <w:rPr/>
        <w:t>compensation</w:t>
      </w:r>
      <w:r>
        <w:rPr>
          <w:spacing w:val="44"/>
        </w:rPr>
        <w:t> </w:t>
      </w:r>
      <w:r>
        <w:rPr/>
        <w:t>information</w:t>
      </w:r>
      <w:r>
        <w:rPr>
          <w:spacing w:val="45"/>
        </w:rPr>
        <w:t> </w:t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year</w:t>
      </w:r>
      <w:r>
        <w:rPr>
          <w:spacing w:val="44"/>
        </w:rPr>
        <w:t> </w:t>
      </w:r>
      <w:r>
        <w:rPr/>
        <w:t>ended</w:t>
      </w:r>
      <w:r>
        <w:rPr>
          <w:spacing w:val="45"/>
        </w:rPr>
        <w:t> </w:t>
      </w:r>
      <w:r>
        <w:rPr/>
        <w:t>December</w:t>
      </w:r>
      <w:r>
        <w:rPr>
          <w:spacing w:val="44"/>
        </w:rPr>
        <w:t> </w:t>
      </w:r>
      <w:r>
        <w:rPr/>
        <w:t>31,</w:t>
      </w:r>
      <w:r>
        <w:rPr>
          <w:spacing w:val="45"/>
        </w:rPr>
        <w:t> </w:t>
      </w:r>
      <w:r>
        <w:rPr/>
        <w:t>2021</w:t>
      </w:r>
      <w:r>
        <w:rPr>
          <w:spacing w:val="45"/>
        </w:rPr>
        <w:t> </w:t>
      </w:r>
      <w:r>
        <w:rPr/>
        <w:t>for</w:t>
      </w:r>
      <w:r>
        <w:rPr>
          <w:spacing w:val="44"/>
        </w:rPr>
        <w:t> </w:t>
      </w:r>
      <w:r>
        <w:rPr/>
        <w:t>each</w:t>
      </w:r>
      <w:r>
        <w:rPr>
          <w:spacing w:val="45"/>
        </w:rPr>
        <w:t> </w:t>
      </w:r>
      <w:r>
        <w:rPr/>
        <w:t>non-</w:t>
      </w:r>
      <w:r>
        <w:rPr>
          <w:spacing w:val="1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Director.</w:t>
      </w:r>
    </w:p>
    <w:p>
      <w:pPr>
        <w:pStyle w:val="BodyText"/>
        <w:spacing w:before="9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</w:pPr>
    </w:p>
    <w:p>
      <w:pPr>
        <w:pStyle w:val="BodyText"/>
      </w:pPr>
    </w:p>
    <w:p>
      <w:pPr>
        <w:spacing w:before="174"/>
        <w:ind w:left="0" w:right="0" w:firstLine="0"/>
        <w:jc w:val="right"/>
        <w:rPr>
          <w:b/>
          <w:sz w:val="18"/>
        </w:rPr>
      </w:pPr>
      <w:r>
        <w:rPr>
          <w:b/>
          <w:sz w:val="18"/>
        </w:rPr>
        <w:t>Name</w:t>
      </w:r>
    </w:p>
    <w:p>
      <w:pPr>
        <w:spacing w:line="208" w:lineRule="auto" w:before="116"/>
        <w:ind w:left="942" w:right="0" w:firstLine="0"/>
        <w:jc w:val="center"/>
        <w:rPr>
          <w:b/>
          <w:sz w:val="18"/>
        </w:rPr>
      </w:pPr>
      <w:r>
        <w:rPr/>
        <w:br w:type="column"/>
      </w:r>
      <w:r>
        <w:rPr>
          <w:b/>
          <w:spacing w:val="-1"/>
          <w:sz w:val="18"/>
        </w:rPr>
        <w:t>Fees </w:t>
      </w:r>
      <w:r>
        <w:rPr>
          <w:b/>
          <w:sz w:val="18"/>
        </w:rPr>
        <w:t>Earned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or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Paid</w:t>
      </w:r>
    </w:p>
    <w:p>
      <w:pPr>
        <w:spacing w:line="168" w:lineRule="auto" w:before="29"/>
        <w:ind w:left="1177" w:right="183" w:firstLine="0"/>
        <w:jc w:val="center"/>
        <w:rPr>
          <w:b/>
          <w:sz w:val="11"/>
        </w:rPr>
      </w:pPr>
      <w:r>
        <w:rPr>
          <w:b/>
          <w:sz w:val="18"/>
        </w:rPr>
        <w:t>in Cash</w:t>
      </w:r>
      <w:r>
        <w:rPr>
          <w:b/>
          <w:spacing w:val="-47"/>
          <w:sz w:val="18"/>
        </w:rPr>
        <w:t> </w:t>
      </w:r>
      <w:r>
        <w:rPr>
          <w:b/>
          <w:position w:val="-7"/>
          <w:sz w:val="18"/>
        </w:rPr>
        <w:t>($)</w:t>
      </w:r>
      <w:r>
        <w:rPr>
          <w:b/>
          <w:spacing w:val="-18"/>
          <w:position w:val="-7"/>
          <w:sz w:val="18"/>
        </w:rPr>
        <w:t> </w:t>
      </w:r>
      <w:r>
        <w:rPr>
          <w:b/>
          <w:sz w:val="11"/>
        </w:rPr>
        <w:t>(1)</w:t>
      </w:r>
    </w:p>
    <w:p>
      <w:pPr>
        <w:spacing w:line="240" w:lineRule="auto" w:before="9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192" w:lineRule="auto" w:before="0"/>
        <w:ind w:left="449" w:right="0" w:hanging="1"/>
        <w:jc w:val="center"/>
        <w:rPr>
          <w:b/>
          <w:sz w:val="11"/>
        </w:rPr>
      </w:pPr>
      <w:r>
        <w:rPr>
          <w:b/>
          <w:sz w:val="18"/>
        </w:rPr>
        <w:t>Stock</w:t>
      </w:r>
      <w:r>
        <w:rPr>
          <w:b/>
          <w:spacing w:val="1"/>
          <w:sz w:val="18"/>
        </w:rPr>
        <w:t> </w:t>
      </w:r>
      <w:r>
        <w:rPr>
          <w:b/>
          <w:spacing w:val="-1"/>
          <w:sz w:val="18"/>
        </w:rPr>
        <w:t>Awards</w:t>
      </w:r>
      <w:r>
        <w:rPr>
          <w:b/>
          <w:spacing w:val="-47"/>
          <w:sz w:val="18"/>
        </w:rPr>
        <w:t> </w:t>
      </w:r>
      <w:r>
        <w:rPr>
          <w:b/>
          <w:position w:val="-7"/>
          <w:sz w:val="18"/>
        </w:rPr>
        <w:t>($)</w:t>
      </w:r>
      <w:r>
        <w:rPr>
          <w:b/>
          <w:spacing w:val="-18"/>
          <w:position w:val="-7"/>
          <w:sz w:val="18"/>
        </w:rPr>
        <w:t> </w:t>
      </w:r>
      <w:r>
        <w:rPr>
          <w:b/>
          <w:sz w:val="11"/>
        </w:rPr>
        <w:t>(2)</w:t>
      </w:r>
    </w:p>
    <w:p>
      <w:pPr>
        <w:spacing w:line="240" w:lineRule="auto" w:before="9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192" w:lineRule="auto" w:before="0"/>
        <w:ind w:left="554" w:right="0" w:firstLine="0"/>
        <w:jc w:val="center"/>
        <w:rPr>
          <w:b/>
          <w:sz w:val="11"/>
        </w:rPr>
      </w:pPr>
      <w:r>
        <w:rPr>
          <w:b/>
          <w:sz w:val="18"/>
        </w:rPr>
        <w:t>Option</w:t>
      </w:r>
      <w:r>
        <w:rPr>
          <w:b/>
          <w:spacing w:val="1"/>
          <w:sz w:val="18"/>
        </w:rPr>
        <w:t> </w:t>
      </w:r>
      <w:r>
        <w:rPr>
          <w:b/>
          <w:spacing w:val="-1"/>
          <w:sz w:val="18"/>
        </w:rPr>
        <w:t>Awards</w:t>
      </w:r>
      <w:r>
        <w:rPr>
          <w:b/>
          <w:spacing w:val="-47"/>
          <w:sz w:val="18"/>
        </w:rPr>
        <w:t> </w:t>
      </w:r>
      <w:r>
        <w:rPr>
          <w:b/>
          <w:position w:val="-7"/>
          <w:sz w:val="18"/>
        </w:rPr>
        <w:t>($) </w:t>
      </w:r>
      <w:r>
        <w:rPr>
          <w:b/>
          <w:sz w:val="11"/>
        </w:rPr>
        <w:t>(2)</w:t>
      </w:r>
    </w:p>
    <w:p>
      <w:pPr>
        <w:spacing w:line="208" w:lineRule="auto" w:before="116"/>
        <w:ind w:left="371" w:right="0" w:hanging="1"/>
        <w:jc w:val="center"/>
        <w:rPr>
          <w:b/>
          <w:sz w:val="18"/>
        </w:rPr>
      </w:pPr>
      <w:r>
        <w:rPr/>
        <w:br w:type="column"/>
      </w:r>
      <w:r>
        <w:rPr>
          <w:b/>
          <w:sz w:val="18"/>
        </w:rPr>
        <w:t>Non-Equity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Incentive Plan</w:t>
      </w:r>
      <w:r>
        <w:rPr>
          <w:b/>
          <w:spacing w:val="-47"/>
          <w:sz w:val="18"/>
        </w:rPr>
        <w:t> </w:t>
      </w:r>
      <w:r>
        <w:rPr>
          <w:b/>
          <w:spacing w:val="-1"/>
          <w:sz w:val="18"/>
        </w:rPr>
        <w:t>Compensation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($)</w:t>
      </w:r>
    </w:p>
    <w:p>
      <w:pPr>
        <w:spacing w:line="240" w:lineRule="auto" w:before="9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192" w:lineRule="auto" w:before="0"/>
        <w:ind w:left="251" w:right="0" w:hanging="1"/>
        <w:jc w:val="center"/>
        <w:rPr>
          <w:b/>
          <w:sz w:val="11"/>
        </w:rPr>
      </w:pPr>
      <w:r>
        <w:rPr>
          <w:b/>
          <w:sz w:val="18"/>
        </w:rPr>
        <w:t>All Other</w:t>
      </w:r>
      <w:r>
        <w:rPr>
          <w:b/>
          <w:spacing w:val="1"/>
          <w:sz w:val="18"/>
        </w:rPr>
        <w:t> </w:t>
      </w:r>
      <w:r>
        <w:rPr>
          <w:b/>
          <w:spacing w:val="-1"/>
          <w:sz w:val="18"/>
        </w:rPr>
        <w:t>Compensation</w:t>
      </w:r>
      <w:r>
        <w:rPr>
          <w:b/>
          <w:spacing w:val="-47"/>
          <w:sz w:val="18"/>
        </w:rPr>
        <w:t> </w:t>
      </w:r>
      <w:r>
        <w:rPr>
          <w:b/>
          <w:position w:val="-7"/>
          <w:sz w:val="18"/>
        </w:rPr>
        <w:t>($)</w:t>
      </w:r>
      <w:r>
        <w:rPr>
          <w:b/>
          <w:spacing w:val="-18"/>
          <w:position w:val="-7"/>
          <w:sz w:val="18"/>
        </w:rPr>
        <w:t> </w:t>
      </w:r>
      <w:r>
        <w:rPr>
          <w:b/>
          <w:sz w:val="11"/>
        </w:rPr>
        <w:t>(3)</w:t>
      </w:r>
    </w:p>
    <w:p>
      <w:pPr>
        <w:spacing w:line="240" w:lineRule="auto" w:before="0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pStyle w:val="BodyText"/>
        <w:spacing w:before="5"/>
        <w:rPr>
          <w:b/>
          <w:sz w:val="21"/>
        </w:rPr>
      </w:pPr>
    </w:p>
    <w:p>
      <w:pPr>
        <w:spacing w:line="208" w:lineRule="auto" w:before="0"/>
        <w:ind w:left="525" w:right="526" w:firstLine="0"/>
        <w:jc w:val="center"/>
        <w:rPr>
          <w:b/>
          <w:sz w:val="18"/>
        </w:rPr>
      </w:pPr>
      <w:r>
        <w:rPr>
          <w:b/>
          <w:sz w:val="18"/>
        </w:rPr>
        <w:t>Total</w:t>
      </w:r>
      <w:r>
        <w:rPr>
          <w:b/>
          <w:spacing w:val="-47"/>
          <w:sz w:val="18"/>
        </w:rPr>
        <w:t> </w:t>
      </w:r>
      <w:r>
        <w:rPr>
          <w:b/>
          <w:sz w:val="18"/>
        </w:rPr>
        <w:t>($)</w:t>
      </w:r>
    </w:p>
    <w:p>
      <w:pPr>
        <w:spacing w:after="0" w:line="208" w:lineRule="auto"/>
        <w:jc w:val="center"/>
        <w:rPr>
          <w:sz w:val="18"/>
        </w:rPr>
        <w:sectPr>
          <w:type w:val="continuous"/>
          <w:pgSz w:w="12240" w:h="15840"/>
          <w:pgMar w:header="0" w:footer="517" w:top="860" w:bottom="280" w:left="740" w:right="700"/>
          <w:cols w:num="7" w:equalWidth="0">
            <w:col w:w="1636" w:space="40"/>
            <w:col w:w="2014" w:space="39"/>
            <w:col w:w="1100" w:space="39"/>
            <w:col w:w="1205" w:space="39"/>
            <w:col w:w="1622" w:space="40"/>
            <w:col w:w="1502" w:space="40"/>
            <w:col w:w="1484"/>
          </w:cols>
        </w:sectPr>
      </w:pPr>
    </w:p>
    <w:p>
      <w:pPr>
        <w:pStyle w:val="BodyText"/>
        <w:spacing w:before="7"/>
        <w:rPr>
          <w:b/>
          <w:sz w:val="2"/>
        </w:rPr>
      </w:pPr>
    </w:p>
    <w:tbl>
      <w:tblPr>
        <w:tblW w:w="0" w:type="auto"/>
        <w:jc w:val="left"/>
        <w:tblInd w:w="3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4"/>
        <w:gridCol w:w="1346"/>
        <w:gridCol w:w="1320"/>
        <w:gridCol w:w="1302"/>
        <w:gridCol w:w="2630"/>
        <w:gridCol w:w="1358"/>
      </w:tblGrid>
      <w:tr>
        <w:trPr>
          <w:trHeight w:val="280" w:hRule="atLeast"/>
        </w:trPr>
        <w:tc>
          <w:tcPr>
            <w:tcW w:w="2304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Andrew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Berkenfield</w:t>
            </w:r>
          </w:p>
        </w:tc>
        <w:tc>
          <w:tcPr>
            <w:tcW w:w="1346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72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320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42"/>
              <w:rPr>
                <w:sz w:val="18"/>
              </w:rPr>
            </w:pPr>
            <w:r>
              <w:rPr>
                <w:sz w:val="18"/>
              </w:rPr>
              <w:t>1,850</w:t>
            </w:r>
          </w:p>
        </w:tc>
        <w:tc>
          <w:tcPr>
            <w:tcW w:w="1302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404"/>
              <w:rPr>
                <w:sz w:val="18"/>
              </w:rPr>
            </w:pPr>
            <w:r>
              <w:rPr>
                <w:sz w:val="18"/>
              </w:rPr>
              <w:t>141,127</w:t>
            </w:r>
          </w:p>
        </w:tc>
        <w:tc>
          <w:tcPr>
            <w:tcW w:w="2630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tabs>
                <w:tab w:pos="1966" w:val="left" w:leader="none"/>
              </w:tabs>
              <w:spacing w:line="207" w:lineRule="exact" w:before="53"/>
              <w:ind w:left="406"/>
              <w:jc w:val="left"/>
              <w:rPr>
                <w:sz w:val="18"/>
              </w:rPr>
            </w:pPr>
            <w:r>
              <w:rPr>
                <w:sz w:val="18"/>
              </w:rPr>
              <w:t>—</w:t>
              <w:tab/>
              <w:t>—</w:t>
            </w:r>
          </w:p>
        </w:tc>
        <w:tc>
          <w:tcPr>
            <w:tcW w:w="1358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72"/>
              <w:rPr>
                <w:sz w:val="18"/>
              </w:rPr>
            </w:pPr>
            <w:r>
              <w:rPr>
                <w:sz w:val="18"/>
              </w:rPr>
              <w:t>207,977</w:t>
            </w:r>
          </w:p>
        </w:tc>
      </w:tr>
      <w:tr>
        <w:trPr>
          <w:trHeight w:val="280" w:hRule="atLeast"/>
        </w:trPr>
        <w:tc>
          <w:tcPr>
            <w:tcW w:w="23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Derrick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Burks</w:t>
            </w:r>
          </w:p>
        </w:tc>
        <w:tc>
          <w:tcPr>
            <w:tcW w:w="134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72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3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42"/>
              <w:rPr>
                <w:sz w:val="18"/>
              </w:rPr>
            </w:pPr>
            <w:r>
              <w:rPr>
                <w:sz w:val="18"/>
              </w:rPr>
              <w:t>112,527</w:t>
            </w:r>
          </w:p>
        </w:tc>
        <w:tc>
          <w:tcPr>
            <w:tcW w:w="130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404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6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1966" w:val="left" w:leader="none"/>
              </w:tabs>
              <w:spacing w:line="207" w:lineRule="exact" w:before="53"/>
              <w:ind w:left="406"/>
              <w:jc w:val="left"/>
              <w:rPr>
                <w:sz w:val="18"/>
              </w:rPr>
            </w:pPr>
            <w:r>
              <w:rPr>
                <w:sz w:val="18"/>
              </w:rPr>
              <w:t>—</w:t>
              <w:tab/>
              <w:t>—</w:t>
            </w:r>
          </w:p>
        </w:tc>
        <w:tc>
          <w:tcPr>
            <w:tcW w:w="135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72"/>
              <w:rPr>
                <w:sz w:val="18"/>
              </w:rPr>
            </w:pPr>
            <w:r>
              <w:rPr>
                <w:sz w:val="18"/>
              </w:rPr>
              <w:t>177,527</w:t>
            </w:r>
          </w:p>
        </w:tc>
      </w:tr>
      <w:tr>
        <w:trPr>
          <w:trHeight w:val="280" w:hRule="atLeast"/>
        </w:trPr>
        <w:tc>
          <w:tcPr>
            <w:tcW w:w="23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Philip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Calian</w:t>
            </w:r>
          </w:p>
        </w:tc>
        <w:tc>
          <w:tcPr>
            <w:tcW w:w="134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72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3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42"/>
              <w:rPr>
                <w:sz w:val="18"/>
              </w:rPr>
            </w:pPr>
            <w:r>
              <w:rPr>
                <w:sz w:val="18"/>
              </w:rPr>
              <w:t>195,015</w:t>
            </w:r>
          </w:p>
        </w:tc>
        <w:tc>
          <w:tcPr>
            <w:tcW w:w="130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404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6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1966" w:val="left" w:leader="none"/>
              </w:tabs>
              <w:spacing w:line="207" w:lineRule="exact" w:before="53"/>
              <w:ind w:left="406"/>
              <w:jc w:val="left"/>
              <w:rPr>
                <w:sz w:val="18"/>
              </w:rPr>
            </w:pPr>
            <w:r>
              <w:rPr>
                <w:sz w:val="18"/>
              </w:rPr>
              <w:t>—</w:t>
              <w:tab/>
              <w:t>—</w:t>
            </w:r>
          </w:p>
        </w:tc>
        <w:tc>
          <w:tcPr>
            <w:tcW w:w="135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72"/>
              <w:rPr>
                <w:sz w:val="18"/>
              </w:rPr>
            </w:pPr>
            <w:r>
              <w:rPr>
                <w:sz w:val="18"/>
              </w:rPr>
              <w:t>260,015</w:t>
            </w:r>
          </w:p>
        </w:tc>
      </w:tr>
      <w:tr>
        <w:trPr>
          <w:trHeight w:val="280" w:hRule="atLeast"/>
        </w:trPr>
        <w:tc>
          <w:tcPr>
            <w:tcW w:w="23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David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Contis</w:t>
            </w:r>
          </w:p>
        </w:tc>
        <w:tc>
          <w:tcPr>
            <w:tcW w:w="134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72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3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42"/>
              <w:rPr>
                <w:sz w:val="18"/>
              </w:rPr>
            </w:pPr>
            <w:r>
              <w:rPr>
                <w:sz w:val="18"/>
              </w:rPr>
              <w:t>132,531</w:t>
            </w:r>
          </w:p>
        </w:tc>
        <w:tc>
          <w:tcPr>
            <w:tcW w:w="130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404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6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1966" w:val="left" w:leader="none"/>
              </w:tabs>
              <w:spacing w:line="207" w:lineRule="exact" w:before="53"/>
              <w:ind w:left="406"/>
              <w:jc w:val="left"/>
              <w:rPr>
                <w:sz w:val="18"/>
              </w:rPr>
            </w:pPr>
            <w:r>
              <w:rPr>
                <w:sz w:val="18"/>
              </w:rPr>
              <w:t>—</w:t>
              <w:tab/>
              <w:t>—</w:t>
            </w:r>
          </w:p>
        </w:tc>
        <w:tc>
          <w:tcPr>
            <w:tcW w:w="135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72"/>
              <w:rPr>
                <w:sz w:val="18"/>
              </w:rPr>
            </w:pPr>
            <w:r>
              <w:rPr>
                <w:sz w:val="18"/>
              </w:rPr>
              <w:t>197,531</w:t>
            </w:r>
          </w:p>
        </w:tc>
      </w:tr>
      <w:tr>
        <w:trPr>
          <w:trHeight w:val="280" w:hRule="atLeast"/>
        </w:trPr>
        <w:tc>
          <w:tcPr>
            <w:tcW w:w="23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Constance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Freedman</w:t>
            </w:r>
          </w:p>
        </w:tc>
        <w:tc>
          <w:tcPr>
            <w:tcW w:w="134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72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3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42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130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404"/>
              <w:rPr>
                <w:sz w:val="18"/>
              </w:rPr>
            </w:pPr>
            <w:r>
              <w:rPr>
                <w:sz w:val="18"/>
              </w:rPr>
              <w:t>150,917</w:t>
            </w:r>
          </w:p>
        </w:tc>
        <w:tc>
          <w:tcPr>
            <w:tcW w:w="26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1966" w:val="left" w:leader="none"/>
              </w:tabs>
              <w:spacing w:line="207" w:lineRule="exact" w:before="53"/>
              <w:ind w:left="406"/>
              <w:jc w:val="left"/>
              <w:rPr>
                <w:sz w:val="18"/>
              </w:rPr>
            </w:pPr>
            <w:r>
              <w:rPr>
                <w:sz w:val="18"/>
              </w:rPr>
              <w:t>—</w:t>
              <w:tab/>
              <w:t>—</w:t>
            </w:r>
          </w:p>
        </w:tc>
        <w:tc>
          <w:tcPr>
            <w:tcW w:w="135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72"/>
              <w:rPr>
                <w:sz w:val="18"/>
              </w:rPr>
            </w:pPr>
            <w:r>
              <w:rPr>
                <w:sz w:val="18"/>
              </w:rPr>
              <w:t>215,917</w:t>
            </w:r>
          </w:p>
        </w:tc>
      </w:tr>
      <w:tr>
        <w:trPr>
          <w:trHeight w:val="280" w:hRule="atLeast"/>
        </w:trPr>
        <w:tc>
          <w:tcPr>
            <w:tcW w:w="23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Thomas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Heneghan</w:t>
            </w:r>
          </w:p>
        </w:tc>
        <w:tc>
          <w:tcPr>
            <w:tcW w:w="134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72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3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42"/>
              <w:rPr>
                <w:sz w:val="18"/>
              </w:rPr>
            </w:pPr>
            <w:r>
              <w:rPr>
                <w:sz w:val="18"/>
              </w:rPr>
              <w:t>140,023</w:t>
            </w:r>
          </w:p>
        </w:tc>
        <w:tc>
          <w:tcPr>
            <w:tcW w:w="130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404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6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1966" w:val="left" w:leader="none"/>
              </w:tabs>
              <w:spacing w:line="207" w:lineRule="exact" w:before="53"/>
              <w:ind w:left="406"/>
              <w:jc w:val="left"/>
              <w:rPr>
                <w:sz w:val="18"/>
              </w:rPr>
            </w:pPr>
            <w:r>
              <w:rPr>
                <w:sz w:val="18"/>
              </w:rPr>
              <w:t>—</w:t>
              <w:tab/>
              <w:t>—</w:t>
            </w:r>
          </w:p>
        </w:tc>
        <w:tc>
          <w:tcPr>
            <w:tcW w:w="135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72"/>
              <w:rPr>
                <w:sz w:val="18"/>
              </w:rPr>
            </w:pPr>
            <w:r>
              <w:rPr>
                <w:sz w:val="18"/>
              </w:rPr>
              <w:t>205,023</w:t>
            </w:r>
          </w:p>
        </w:tc>
      </w:tr>
      <w:tr>
        <w:trPr>
          <w:trHeight w:val="280" w:hRule="atLeast"/>
        </w:trPr>
        <w:tc>
          <w:tcPr>
            <w:tcW w:w="23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Scott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Peppet</w:t>
            </w:r>
          </w:p>
        </w:tc>
        <w:tc>
          <w:tcPr>
            <w:tcW w:w="134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72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3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42"/>
              <w:rPr>
                <w:sz w:val="18"/>
              </w:rPr>
            </w:pPr>
            <w:r>
              <w:rPr>
                <w:sz w:val="18"/>
              </w:rPr>
              <w:t>120,020</w:t>
            </w:r>
          </w:p>
        </w:tc>
        <w:tc>
          <w:tcPr>
            <w:tcW w:w="130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404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6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1966" w:val="left" w:leader="none"/>
              </w:tabs>
              <w:spacing w:line="207" w:lineRule="exact" w:before="53"/>
              <w:ind w:left="406"/>
              <w:jc w:val="left"/>
              <w:rPr>
                <w:sz w:val="18"/>
              </w:rPr>
            </w:pPr>
            <w:r>
              <w:rPr>
                <w:sz w:val="18"/>
              </w:rPr>
              <w:t>—</w:t>
              <w:tab/>
              <w:t>—</w:t>
            </w:r>
          </w:p>
        </w:tc>
        <w:tc>
          <w:tcPr>
            <w:tcW w:w="135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72"/>
              <w:rPr>
                <w:sz w:val="18"/>
              </w:rPr>
            </w:pPr>
            <w:r>
              <w:rPr>
                <w:sz w:val="18"/>
              </w:rPr>
              <w:t>185,020</w:t>
            </w:r>
          </w:p>
        </w:tc>
      </w:tr>
      <w:tr>
        <w:trPr>
          <w:trHeight w:val="280" w:hRule="atLeast"/>
        </w:trPr>
        <w:tc>
          <w:tcPr>
            <w:tcW w:w="23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Sheli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Rosenberg</w:t>
            </w:r>
          </w:p>
        </w:tc>
        <w:tc>
          <w:tcPr>
            <w:tcW w:w="134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72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3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242"/>
              <w:rPr>
                <w:sz w:val="18"/>
              </w:rPr>
            </w:pPr>
            <w:r>
              <w:rPr>
                <w:sz w:val="18"/>
              </w:rPr>
              <w:t>107,509</w:t>
            </w:r>
          </w:p>
        </w:tc>
        <w:tc>
          <w:tcPr>
            <w:tcW w:w="130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404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6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1966" w:val="left" w:leader="none"/>
              </w:tabs>
              <w:spacing w:line="207" w:lineRule="exact" w:before="53"/>
              <w:ind w:left="406"/>
              <w:jc w:val="left"/>
              <w:rPr>
                <w:sz w:val="18"/>
              </w:rPr>
            </w:pPr>
            <w:r>
              <w:rPr>
                <w:sz w:val="18"/>
              </w:rPr>
              <w:t>—</w:t>
              <w:tab/>
              <w:t>—</w:t>
            </w:r>
          </w:p>
        </w:tc>
        <w:tc>
          <w:tcPr>
            <w:tcW w:w="135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53"/>
              <w:ind w:right="72"/>
              <w:rPr>
                <w:sz w:val="18"/>
              </w:rPr>
            </w:pPr>
            <w:r>
              <w:rPr>
                <w:sz w:val="18"/>
              </w:rPr>
              <w:t>172,509</w:t>
            </w:r>
          </w:p>
        </w:tc>
      </w:tr>
      <w:tr>
        <w:trPr>
          <w:trHeight w:val="280" w:hRule="atLeast"/>
        </w:trPr>
        <w:tc>
          <w:tcPr>
            <w:tcW w:w="2304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5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Samuel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Zell</w:t>
            </w:r>
          </w:p>
        </w:tc>
        <w:tc>
          <w:tcPr>
            <w:tcW w:w="1346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53"/>
              <w:ind w:right="272"/>
              <w:rPr>
                <w:sz w:val="18"/>
              </w:rPr>
            </w:pPr>
            <w:r>
              <w:rPr>
                <w:sz w:val="18"/>
              </w:rPr>
              <w:t>65,000</w:t>
            </w:r>
          </w:p>
        </w:tc>
        <w:tc>
          <w:tcPr>
            <w:tcW w:w="1320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53"/>
              <w:ind w:right="242"/>
              <w:rPr>
                <w:sz w:val="18"/>
              </w:rPr>
            </w:pPr>
            <w:r>
              <w:rPr>
                <w:sz w:val="18"/>
              </w:rPr>
              <w:t>3,192,492</w:t>
            </w:r>
          </w:p>
        </w:tc>
        <w:tc>
          <w:tcPr>
            <w:tcW w:w="1302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53"/>
              <w:ind w:right="404"/>
              <w:rPr>
                <w:sz w:val="18"/>
              </w:rPr>
            </w:pPr>
            <w:r>
              <w:rPr>
                <w:sz w:val="18"/>
              </w:rPr>
              <w:t>—</w:t>
            </w:r>
          </w:p>
        </w:tc>
        <w:tc>
          <w:tcPr>
            <w:tcW w:w="2630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tabs>
                <w:tab w:pos="1966" w:val="left" w:leader="none"/>
              </w:tabs>
              <w:spacing w:line="207" w:lineRule="exact" w:before="53"/>
              <w:ind w:left="406"/>
              <w:jc w:val="left"/>
              <w:rPr>
                <w:sz w:val="18"/>
              </w:rPr>
            </w:pPr>
            <w:r>
              <w:rPr>
                <w:sz w:val="18"/>
              </w:rPr>
              <w:t>—</w:t>
              <w:tab/>
              <w:t>—</w:t>
            </w:r>
          </w:p>
        </w:tc>
        <w:tc>
          <w:tcPr>
            <w:tcW w:w="1358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53"/>
              <w:ind w:right="72"/>
              <w:rPr>
                <w:sz w:val="18"/>
              </w:rPr>
            </w:pPr>
            <w:r>
              <w:rPr>
                <w:sz w:val="18"/>
              </w:rPr>
              <w:t>3,257,492</w:t>
            </w:r>
          </w:p>
        </w:tc>
      </w:tr>
    </w:tbl>
    <w:p>
      <w:pPr>
        <w:pStyle w:val="ListParagraph"/>
        <w:numPr>
          <w:ilvl w:val="0"/>
          <w:numId w:val="14"/>
        </w:numPr>
        <w:tabs>
          <w:tab w:pos="610" w:val="left" w:leader="none"/>
        </w:tabs>
        <w:spacing w:line="240" w:lineRule="auto" w:before="146" w:after="0"/>
        <w:ind w:left="610" w:right="0" w:hanging="360"/>
        <w:jc w:val="left"/>
        <w:rPr>
          <w:sz w:val="16"/>
        </w:rPr>
      </w:pP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2021,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Company</w:t>
      </w:r>
      <w:r>
        <w:rPr>
          <w:spacing w:val="-3"/>
          <w:sz w:val="16"/>
        </w:rPr>
        <w:t> </w:t>
      </w:r>
      <w:r>
        <w:rPr>
          <w:sz w:val="16"/>
        </w:rPr>
        <w:t>paid</w:t>
      </w:r>
      <w:r>
        <w:rPr>
          <w:spacing w:val="-4"/>
          <w:sz w:val="16"/>
        </w:rPr>
        <w:t> </w:t>
      </w:r>
      <w:r>
        <w:rPr>
          <w:sz w:val="16"/>
        </w:rPr>
        <w:t>each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its</w:t>
      </w:r>
      <w:r>
        <w:rPr>
          <w:spacing w:val="-3"/>
          <w:sz w:val="16"/>
        </w:rPr>
        <w:t> </w:t>
      </w:r>
      <w:r>
        <w:rPr>
          <w:sz w:val="16"/>
        </w:rPr>
        <w:t>non-executive</w:t>
      </w:r>
      <w:r>
        <w:rPr>
          <w:spacing w:val="-3"/>
          <w:sz w:val="16"/>
        </w:rPr>
        <w:t> </w:t>
      </w:r>
      <w:r>
        <w:rPr>
          <w:sz w:val="16"/>
        </w:rPr>
        <w:t>Directors</w:t>
      </w:r>
      <w:r>
        <w:rPr>
          <w:spacing w:val="-3"/>
          <w:sz w:val="16"/>
        </w:rPr>
        <w:t> </w:t>
      </w:r>
      <w:r>
        <w:rPr>
          <w:sz w:val="16"/>
        </w:rPr>
        <w:t>an</w:t>
      </w:r>
      <w:r>
        <w:rPr>
          <w:spacing w:val="-4"/>
          <w:sz w:val="16"/>
        </w:rPr>
        <w:t> </w:t>
      </w:r>
      <w:r>
        <w:rPr>
          <w:sz w:val="16"/>
        </w:rPr>
        <w:t>annual</w:t>
      </w:r>
      <w:r>
        <w:rPr>
          <w:spacing w:val="-3"/>
          <w:sz w:val="16"/>
        </w:rPr>
        <w:t> </w:t>
      </w:r>
      <w:r>
        <w:rPr>
          <w:sz w:val="16"/>
        </w:rPr>
        <w:t>fee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$65,000.</w:t>
      </w:r>
    </w:p>
    <w:p>
      <w:pPr>
        <w:pStyle w:val="ListParagraph"/>
        <w:numPr>
          <w:ilvl w:val="0"/>
          <w:numId w:val="14"/>
        </w:numPr>
        <w:tabs>
          <w:tab w:pos="610" w:val="left" w:leader="none"/>
        </w:tabs>
        <w:spacing w:line="249" w:lineRule="auto" w:before="108" w:after="0"/>
        <w:ind w:left="610" w:right="388" w:hanging="360"/>
        <w:jc w:val="left"/>
        <w:rPr>
          <w:sz w:val="16"/>
        </w:rPr>
      </w:pPr>
      <w:r>
        <w:rPr>
          <w:spacing w:val="-1"/>
          <w:sz w:val="16"/>
        </w:rPr>
        <w:t>These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amounts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reflect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the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grant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date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fair</w:t>
      </w:r>
      <w:r>
        <w:rPr>
          <w:spacing w:val="-2"/>
          <w:sz w:val="16"/>
        </w:rPr>
        <w:t> </w:t>
      </w:r>
      <w:r>
        <w:rPr>
          <w:spacing w:val="-1"/>
          <w:sz w:val="16"/>
        </w:rPr>
        <w:t>value,</w:t>
      </w:r>
      <w:r>
        <w:rPr>
          <w:spacing w:val="-2"/>
          <w:sz w:val="16"/>
        </w:rPr>
        <w:t> </w:t>
      </w:r>
      <w:r>
        <w:rPr>
          <w:sz w:val="16"/>
        </w:rPr>
        <w:t>as</w:t>
      </w:r>
      <w:r>
        <w:rPr>
          <w:spacing w:val="-3"/>
          <w:sz w:val="16"/>
        </w:rPr>
        <w:t> </w:t>
      </w:r>
      <w:r>
        <w:rPr>
          <w:sz w:val="16"/>
        </w:rPr>
        <w:t>calculated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accordance</w:t>
      </w:r>
      <w:r>
        <w:rPr>
          <w:spacing w:val="-4"/>
          <w:sz w:val="16"/>
        </w:rPr>
        <w:t> </w:t>
      </w:r>
      <w:r>
        <w:rPr>
          <w:sz w:val="16"/>
        </w:rPr>
        <w:t>with</w:t>
      </w:r>
      <w:r>
        <w:rPr>
          <w:spacing w:val="-3"/>
          <w:sz w:val="16"/>
        </w:rPr>
        <w:t> </w:t>
      </w:r>
      <w:r>
        <w:rPr>
          <w:sz w:val="16"/>
        </w:rPr>
        <w:t>FASB</w:t>
      </w:r>
      <w:r>
        <w:rPr>
          <w:spacing w:val="-11"/>
          <w:sz w:val="16"/>
        </w:rPr>
        <w:t> </w:t>
      </w:r>
      <w:r>
        <w:rPr>
          <w:sz w:val="16"/>
        </w:rPr>
        <w:t>ASC</w:t>
      </w:r>
      <w:r>
        <w:rPr>
          <w:spacing w:val="-5"/>
          <w:sz w:val="16"/>
        </w:rPr>
        <w:t> </w:t>
      </w:r>
      <w:r>
        <w:rPr>
          <w:sz w:val="16"/>
        </w:rPr>
        <w:t>Topic</w:t>
      </w:r>
      <w:r>
        <w:rPr>
          <w:spacing w:val="-2"/>
          <w:sz w:val="16"/>
        </w:rPr>
        <w:t> </w:t>
      </w:r>
      <w:r>
        <w:rPr>
          <w:sz w:val="16"/>
        </w:rPr>
        <w:t>718</w:t>
      </w:r>
      <w:r>
        <w:rPr>
          <w:spacing w:val="-4"/>
          <w:sz w:val="16"/>
        </w:rPr>
        <w:t> </w:t>
      </w:r>
      <w:r>
        <w:rPr>
          <w:sz w:val="16"/>
        </w:rPr>
        <w:t>"Stock</w:t>
      </w:r>
      <w:r>
        <w:rPr>
          <w:spacing w:val="-2"/>
          <w:sz w:val="16"/>
        </w:rPr>
        <w:t> </w:t>
      </w:r>
      <w:r>
        <w:rPr>
          <w:sz w:val="16"/>
        </w:rPr>
        <w:t>Compensation"</w:t>
      </w:r>
      <w:r>
        <w:rPr>
          <w:spacing w:val="-3"/>
          <w:sz w:val="16"/>
        </w:rPr>
        <w:t> </w:t>
      </w:r>
      <w:r>
        <w:rPr>
          <w:sz w:val="16"/>
        </w:rPr>
        <w:t>("FASB</w:t>
      </w:r>
      <w:r>
        <w:rPr>
          <w:spacing w:val="-11"/>
          <w:sz w:val="16"/>
        </w:rPr>
        <w:t> </w:t>
      </w:r>
      <w:r>
        <w:rPr>
          <w:sz w:val="16"/>
        </w:rPr>
        <w:t>ASC</w:t>
      </w:r>
      <w:r>
        <w:rPr>
          <w:spacing w:val="1"/>
          <w:sz w:val="16"/>
        </w:rPr>
        <w:t> </w:t>
      </w:r>
      <w:r>
        <w:rPr>
          <w:sz w:val="16"/>
        </w:rPr>
        <w:t>718"),</w:t>
      </w:r>
      <w:r>
        <w:rPr>
          <w:spacing w:val="-1"/>
          <w:sz w:val="16"/>
        </w:rPr>
        <w:t> </w:t>
      </w:r>
      <w:r>
        <w:rPr>
          <w:sz w:val="16"/>
        </w:rPr>
        <w:t>related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grants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restricted</w:t>
      </w:r>
      <w:r>
        <w:rPr>
          <w:spacing w:val="-1"/>
          <w:sz w:val="16"/>
        </w:rPr>
        <w:t> </w:t>
      </w:r>
      <w:r>
        <w:rPr>
          <w:sz w:val="16"/>
        </w:rPr>
        <w:t>stock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options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purchase</w:t>
      </w:r>
      <w:r>
        <w:rPr>
          <w:spacing w:val="-1"/>
          <w:sz w:val="16"/>
        </w:rPr>
        <w:t> </w:t>
      </w:r>
      <w:r>
        <w:rPr>
          <w:sz w:val="16"/>
        </w:rPr>
        <w:t>shares</w:t>
      </w:r>
      <w:r>
        <w:rPr>
          <w:spacing w:val="-1"/>
          <w:sz w:val="16"/>
        </w:rPr>
        <w:t> </w:t>
      </w:r>
      <w:r>
        <w:rPr>
          <w:sz w:val="16"/>
        </w:rPr>
        <w:t>of Common</w:t>
      </w:r>
      <w:r>
        <w:rPr>
          <w:spacing w:val="-2"/>
          <w:sz w:val="16"/>
        </w:rPr>
        <w:t> </w:t>
      </w:r>
      <w:r>
        <w:rPr>
          <w:sz w:val="16"/>
        </w:rPr>
        <w:t>Stock</w:t>
      </w:r>
      <w:r>
        <w:rPr>
          <w:spacing w:val="-1"/>
          <w:sz w:val="16"/>
        </w:rPr>
        <w:t> </w:t>
      </w:r>
      <w:r>
        <w:rPr>
          <w:sz w:val="16"/>
        </w:rPr>
        <w:t>made</w:t>
      </w:r>
      <w:r>
        <w:rPr>
          <w:spacing w:val="-1"/>
          <w:sz w:val="16"/>
        </w:rPr>
        <w:t> </w:t>
      </w:r>
      <w:r>
        <w:rPr>
          <w:sz w:val="16"/>
        </w:rPr>
        <w:t>in</w:t>
      </w:r>
      <w:r>
        <w:rPr>
          <w:spacing w:val="-6"/>
          <w:sz w:val="16"/>
        </w:rPr>
        <w:t> </w:t>
      </w:r>
      <w:r>
        <w:rPr>
          <w:sz w:val="16"/>
        </w:rPr>
        <w:t>2021.</w:t>
      </w:r>
    </w:p>
    <w:p>
      <w:pPr>
        <w:spacing w:line="249" w:lineRule="auto" w:before="102"/>
        <w:ind w:left="610" w:right="282" w:firstLine="0"/>
        <w:jc w:val="left"/>
        <w:rPr>
          <w:sz w:val="16"/>
        </w:rPr>
      </w:pPr>
      <w:r>
        <w:rPr>
          <w:sz w:val="16"/>
        </w:rPr>
        <w:t>Refer to Note 2, "Summary of Significant Accounting Policies" and Note 13, "Equity Incentive Awards," in the Notes to the Consolidated</w:t>
      </w:r>
      <w:r>
        <w:rPr>
          <w:spacing w:val="1"/>
          <w:sz w:val="16"/>
        </w:rPr>
        <w:t> </w:t>
      </w:r>
      <w:r>
        <w:rPr>
          <w:sz w:val="16"/>
        </w:rPr>
        <w:t>Financial</w:t>
      </w:r>
      <w:r>
        <w:rPr>
          <w:spacing w:val="-4"/>
          <w:sz w:val="16"/>
        </w:rPr>
        <w:t> </w:t>
      </w:r>
      <w:r>
        <w:rPr>
          <w:sz w:val="16"/>
        </w:rPr>
        <w:t>Statements</w:t>
      </w:r>
      <w:r>
        <w:rPr>
          <w:spacing w:val="-3"/>
          <w:sz w:val="16"/>
        </w:rPr>
        <w:t> </w:t>
      </w:r>
      <w:r>
        <w:rPr>
          <w:sz w:val="16"/>
        </w:rPr>
        <w:t>included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Company's</w:t>
      </w:r>
      <w:r>
        <w:rPr>
          <w:spacing w:val="-5"/>
          <w:sz w:val="16"/>
        </w:rPr>
        <w:t> </w:t>
      </w:r>
      <w:r>
        <w:rPr>
          <w:sz w:val="16"/>
        </w:rPr>
        <w:t>2021</w:t>
      </w:r>
      <w:r>
        <w:rPr>
          <w:spacing w:val="-4"/>
          <w:sz w:val="16"/>
        </w:rPr>
        <w:t> </w:t>
      </w:r>
      <w:r>
        <w:rPr>
          <w:sz w:val="16"/>
        </w:rPr>
        <w:t>Form</w:t>
      </w:r>
      <w:r>
        <w:rPr>
          <w:spacing w:val="-3"/>
          <w:sz w:val="16"/>
        </w:rPr>
        <w:t> </w:t>
      </w:r>
      <w:r>
        <w:rPr>
          <w:sz w:val="16"/>
        </w:rPr>
        <w:t>10-K</w:t>
      </w:r>
      <w:r>
        <w:rPr>
          <w:spacing w:val="-3"/>
          <w:sz w:val="16"/>
        </w:rPr>
        <w:t> </w:t>
      </w:r>
      <w:r>
        <w:rPr>
          <w:sz w:val="16"/>
        </w:rPr>
        <w:t>filed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February</w:t>
      </w:r>
      <w:r>
        <w:rPr>
          <w:spacing w:val="-3"/>
          <w:sz w:val="16"/>
        </w:rPr>
        <w:t> </w:t>
      </w:r>
      <w:r>
        <w:rPr>
          <w:sz w:val="16"/>
        </w:rPr>
        <w:t>22,</w:t>
      </w:r>
      <w:r>
        <w:rPr>
          <w:spacing w:val="-3"/>
          <w:sz w:val="16"/>
        </w:rPr>
        <w:t> </w:t>
      </w:r>
      <w:r>
        <w:rPr>
          <w:sz w:val="16"/>
        </w:rPr>
        <w:t>2022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relevant</w:t>
      </w:r>
      <w:r>
        <w:rPr>
          <w:spacing w:val="-4"/>
          <w:sz w:val="16"/>
        </w:rPr>
        <w:t> </w:t>
      </w:r>
      <w:r>
        <w:rPr>
          <w:sz w:val="16"/>
        </w:rPr>
        <w:t>assumptions</w:t>
      </w:r>
      <w:r>
        <w:rPr>
          <w:spacing w:val="-3"/>
          <w:sz w:val="16"/>
        </w:rPr>
        <w:t> </w:t>
      </w:r>
      <w:r>
        <w:rPr>
          <w:sz w:val="16"/>
        </w:rPr>
        <w:t>used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determine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valuation</w:t>
      </w:r>
      <w:r>
        <w:rPr>
          <w:spacing w:val="-1"/>
          <w:sz w:val="16"/>
        </w:rPr>
        <w:t> </w:t>
      </w:r>
      <w:r>
        <w:rPr>
          <w:sz w:val="16"/>
        </w:rPr>
        <w:t>of our restricted</w:t>
      </w:r>
      <w:r>
        <w:rPr>
          <w:spacing w:val="-1"/>
          <w:sz w:val="16"/>
        </w:rPr>
        <w:t> </w:t>
      </w:r>
      <w:r>
        <w:rPr>
          <w:sz w:val="16"/>
        </w:rPr>
        <w:t>stock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stock option</w:t>
      </w:r>
      <w:r>
        <w:rPr>
          <w:spacing w:val="-1"/>
          <w:sz w:val="16"/>
        </w:rPr>
        <w:t> </w:t>
      </w:r>
      <w:r>
        <w:rPr>
          <w:sz w:val="16"/>
        </w:rPr>
        <w:t>awards.</w:t>
      </w:r>
    </w:p>
    <w:p>
      <w:pPr>
        <w:spacing w:line="249" w:lineRule="auto" w:before="102"/>
        <w:ind w:left="610" w:right="321" w:firstLine="0"/>
        <w:jc w:val="left"/>
        <w:rPr>
          <w:sz w:val="16"/>
        </w:rPr>
      </w:pPr>
      <w:r>
        <w:rPr>
          <w:sz w:val="16"/>
        </w:rPr>
        <w:t>The Board historically has approved an annual award of Restricted Common Stock to non-executive Board members in conjunction with</w:t>
      </w:r>
      <w:r>
        <w:rPr>
          <w:spacing w:val="1"/>
          <w:sz w:val="16"/>
        </w:rPr>
        <w:t> </w:t>
      </w:r>
      <w:r>
        <w:rPr>
          <w:sz w:val="16"/>
        </w:rPr>
        <w:t>their reelection at the annual meeting of stockholders.</w:t>
      </w:r>
      <w:r>
        <w:rPr>
          <w:spacing w:val="44"/>
          <w:sz w:val="16"/>
        </w:rPr>
        <w:t> </w:t>
      </w:r>
      <w:r>
        <w:rPr>
          <w:sz w:val="16"/>
        </w:rPr>
        <w:t>On April 27, 2021, upon recommendation of the Compensation Committee, the</w:t>
      </w:r>
      <w:r>
        <w:rPr>
          <w:spacing w:val="1"/>
          <w:sz w:val="16"/>
        </w:rPr>
        <w:t> </w:t>
      </w:r>
      <w:r>
        <w:rPr>
          <w:sz w:val="16"/>
        </w:rPr>
        <w:t>Board approved the following awards of Restricted Common Stock to non-executive Directors then in office. Each recipient was allowed to</w:t>
      </w:r>
      <w:r>
        <w:rPr>
          <w:spacing w:val="1"/>
          <w:sz w:val="16"/>
        </w:rPr>
        <w:t> </w:t>
      </w:r>
      <w:r>
        <w:rPr>
          <w:sz w:val="16"/>
        </w:rPr>
        <w:t>take these shares as Stock Options equal to five times the number of shares of Restricted Common Stock that would have been awarded.</w:t>
      </w:r>
      <w:r>
        <w:rPr>
          <w:spacing w:val="1"/>
          <w:sz w:val="16"/>
        </w:rPr>
        <w:t> </w:t>
      </w:r>
      <w:r>
        <w:rPr>
          <w:sz w:val="16"/>
        </w:rPr>
        <w:t>All shares were granted at a per share price of $68.74, the NYSE closing price of the Company’s Common Stock on April 27, 2021. The</w:t>
      </w:r>
      <w:r>
        <w:rPr>
          <w:spacing w:val="1"/>
          <w:sz w:val="16"/>
        </w:rPr>
        <w:t> </w:t>
      </w:r>
      <w:r>
        <w:rPr>
          <w:sz w:val="16"/>
        </w:rPr>
        <w:t>number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shares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Restricted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2"/>
          <w:sz w:val="16"/>
        </w:rPr>
        <w:t> </w:t>
      </w:r>
      <w:r>
        <w:rPr>
          <w:sz w:val="16"/>
        </w:rPr>
        <w:t>awarded</w:t>
      </w:r>
      <w:r>
        <w:rPr>
          <w:spacing w:val="-3"/>
          <w:sz w:val="16"/>
        </w:rPr>
        <w:t> </w:t>
      </w:r>
      <w:r>
        <w:rPr>
          <w:sz w:val="16"/>
        </w:rPr>
        <w:t>was</w:t>
      </w:r>
      <w:r>
        <w:rPr>
          <w:spacing w:val="-3"/>
          <w:sz w:val="16"/>
        </w:rPr>
        <w:t> </w:t>
      </w:r>
      <w:r>
        <w:rPr>
          <w:sz w:val="16"/>
        </w:rPr>
        <w:t>determined</w:t>
      </w:r>
      <w:r>
        <w:rPr>
          <w:spacing w:val="-3"/>
          <w:sz w:val="16"/>
        </w:rPr>
        <w:t> </w:t>
      </w:r>
      <w:r>
        <w:rPr>
          <w:sz w:val="16"/>
        </w:rPr>
        <w:t>by</w:t>
      </w:r>
      <w:r>
        <w:rPr>
          <w:spacing w:val="-3"/>
          <w:sz w:val="16"/>
        </w:rPr>
        <w:t> </w:t>
      </w:r>
      <w:r>
        <w:rPr>
          <w:sz w:val="16"/>
        </w:rPr>
        <w:t>dividing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dollar</w:t>
      </w:r>
      <w:r>
        <w:rPr>
          <w:spacing w:val="-2"/>
          <w:sz w:val="16"/>
        </w:rPr>
        <w:t> </w:t>
      </w:r>
      <w:r>
        <w:rPr>
          <w:sz w:val="16"/>
        </w:rPr>
        <w:t>value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award</w:t>
      </w:r>
      <w:r>
        <w:rPr>
          <w:spacing w:val="-3"/>
          <w:sz w:val="16"/>
        </w:rPr>
        <w:t> </w:t>
      </w:r>
      <w:r>
        <w:rPr>
          <w:sz w:val="16"/>
        </w:rPr>
        <w:t>by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closing</w:t>
      </w:r>
      <w:r>
        <w:rPr>
          <w:spacing w:val="-4"/>
          <w:sz w:val="16"/>
        </w:rPr>
        <w:t> </w:t>
      </w:r>
      <w:r>
        <w:rPr>
          <w:sz w:val="16"/>
        </w:rPr>
        <w:t>price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Company's</w:t>
      </w:r>
      <w:r>
        <w:rPr>
          <w:spacing w:val="-1"/>
          <w:sz w:val="16"/>
        </w:rPr>
        <w:t> </w:t>
      </w:r>
      <w:r>
        <w:rPr>
          <w:sz w:val="16"/>
        </w:rPr>
        <w:t>Common</w:t>
      </w:r>
      <w:r>
        <w:rPr>
          <w:spacing w:val="-1"/>
          <w:sz w:val="16"/>
        </w:rPr>
        <w:t> </w:t>
      </w:r>
      <w:r>
        <w:rPr>
          <w:sz w:val="16"/>
        </w:rPr>
        <w:t>Stock on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grant date</w:t>
      </w:r>
      <w:r>
        <w:rPr>
          <w:spacing w:val="-2"/>
          <w:sz w:val="16"/>
        </w:rPr>
        <w:t> </w:t>
      </w:r>
      <w:r>
        <w:rPr>
          <w:sz w:val="16"/>
        </w:rPr>
        <w:t>or $68.74.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  <w:tab w:pos="1150" w:val="left" w:leader="none"/>
        </w:tabs>
        <w:spacing w:line="249" w:lineRule="auto" w:before="104" w:after="0"/>
        <w:ind w:left="1150" w:right="807" w:hanging="360"/>
        <w:jc w:val="left"/>
        <w:rPr>
          <w:sz w:val="16"/>
        </w:rPr>
      </w:pPr>
      <w:r>
        <w:rPr>
          <w:sz w:val="16"/>
        </w:rPr>
        <w:t>The following Directors: (i) the Chairman of the Board, (ii) the Audit Committee Chairperson and Lead Director, (iii) the</w:t>
      </w:r>
      <w:r>
        <w:rPr>
          <w:spacing w:val="1"/>
          <w:sz w:val="16"/>
        </w:rPr>
        <w:t> </w:t>
      </w:r>
      <w:r>
        <w:rPr>
          <w:sz w:val="16"/>
        </w:rPr>
        <w:t>Compensation Committee Chairperson, and (iv) the Executive Committee Chairperson and Strategic Planning Committee</w:t>
      </w:r>
      <w:r>
        <w:rPr>
          <w:spacing w:val="1"/>
          <w:sz w:val="16"/>
        </w:rPr>
        <w:t> </w:t>
      </w:r>
      <w:r>
        <w:rPr>
          <w:sz w:val="16"/>
        </w:rPr>
        <w:t>Chairperson each received an award of Restricted Common Stock for their services rendered in such capacity in 2021. Each</w:t>
      </w:r>
      <w:r>
        <w:rPr>
          <w:spacing w:val="-42"/>
          <w:sz w:val="16"/>
        </w:rPr>
        <w:t> </w:t>
      </w:r>
      <w:r>
        <w:rPr>
          <w:sz w:val="16"/>
        </w:rPr>
        <w:t>recipient</w:t>
      </w:r>
      <w:r>
        <w:rPr>
          <w:spacing w:val="-1"/>
          <w:sz w:val="16"/>
        </w:rPr>
        <w:t> </w:t>
      </w:r>
      <w:r>
        <w:rPr>
          <w:sz w:val="16"/>
        </w:rPr>
        <w:t>elected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take</w:t>
      </w:r>
      <w:r>
        <w:rPr>
          <w:spacing w:val="-1"/>
          <w:sz w:val="16"/>
        </w:rPr>
        <w:t> </w:t>
      </w:r>
      <w:r>
        <w:rPr>
          <w:sz w:val="16"/>
        </w:rPr>
        <w:t>their</w:t>
      </w:r>
      <w:r>
        <w:rPr>
          <w:spacing w:val="-1"/>
          <w:sz w:val="16"/>
        </w:rPr>
        <w:t> </w:t>
      </w:r>
      <w:r>
        <w:rPr>
          <w:sz w:val="16"/>
        </w:rPr>
        <w:t>award</w:t>
      </w:r>
      <w:r>
        <w:rPr>
          <w:spacing w:val="-1"/>
          <w:sz w:val="16"/>
        </w:rPr>
        <w:t> </w:t>
      </w:r>
      <w:r>
        <w:rPr>
          <w:sz w:val="16"/>
        </w:rPr>
        <w:t>as Restricted</w:t>
      </w:r>
      <w:r>
        <w:rPr>
          <w:spacing w:val="-1"/>
          <w:sz w:val="16"/>
        </w:rPr>
        <w:t> </w:t>
      </w:r>
      <w:r>
        <w:rPr>
          <w:sz w:val="16"/>
        </w:rPr>
        <w:t>Common</w:t>
      </w:r>
      <w:r>
        <w:rPr>
          <w:spacing w:val="-2"/>
          <w:sz w:val="16"/>
        </w:rPr>
        <w:t> </w:t>
      </w:r>
      <w:r>
        <w:rPr>
          <w:sz w:val="16"/>
        </w:rPr>
        <w:t>Stock.</w:t>
      </w:r>
    </w:p>
    <w:p>
      <w:pPr>
        <w:spacing w:line="249" w:lineRule="auto" w:before="103"/>
        <w:ind w:left="1150" w:right="300" w:firstLine="0"/>
        <w:jc w:val="left"/>
        <w:rPr>
          <w:sz w:val="16"/>
        </w:rPr>
      </w:pPr>
      <w:r>
        <w:rPr>
          <w:sz w:val="16"/>
        </w:rPr>
        <w:t>Mr. Zell was awarded shares of Restricted Common Stock valued at $3,085,000 for services rendered as Chairman of the Board for</w:t>
      </w:r>
      <w:r>
        <w:rPr>
          <w:spacing w:val="-42"/>
          <w:sz w:val="16"/>
        </w:rPr>
        <w:t> </w:t>
      </w:r>
      <w:r>
        <w:rPr>
          <w:spacing w:val="-1"/>
          <w:sz w:val="16"/>
        </w:rPr>
        <w:t>2021. Accordingly, Mr. Zell was awarded 44,879 shares of </w:t>
      </w:r>
      <w:r>
        <w:rPr>
          <w:sz w:val="16"/>
        </w:rPr>
        <w:t>Restricted Common Stock.</w:t>
      </w:r>
      <w:r>
        <w:rPr>
          <w:spacing w:val="44"/>
          <w:sz w:val="16"/>
        </w:rPr>
        <w:t> </w:t>
      </w:r>
      <w:r>
        <w:rPr>
          <w:sz w:val="16"/>
        </w:rPr>
        <w:t>The Compensation Committee determined</w:t>
      </w:r>
      <w:r>
        <w:rPr>
          <w:spacing w:val="1"/>
          <w:sz w:val="16"/>
        </w:rPr>
        <w:t> </w:t>
      </w:r>
      <w:r>
        <w:rPr>
          <w:sz w:val="16"/>
        </w:rPr>
        <w:t>that</w:t>
      </w:r>
      <w:r>
        <w:rPr>
          <w:spacing w:val="-4"/>
          <w:sz w:val="16"/>
        </w:rPr>
        <w:t> </w:t>
      </w:r>
      <w:r>
        <w:rPr>
          <w:sz w:val="16"/>
        </w:rPr>
        <w:t>Mr.</w:t>
      </w:r>
      <w:r>
        <w:rPr>
          <w:spacing w:val="-3"/>
          <w:sz w:val="16"/>
        </w:rPr>
        <w:t> </w:t>
      </w:r>
      <w:r>
        <w:rPr>
          <w:sz w:val="16"/>
        </w:rPr>
        <w:t>Zell’s</w:t>
      </w:r>
      <w:r>
        <w:rPr>
          <w:spacing w:val="-3"/>
          <w:sz w:val="16"/>
        </w:rPr>
        <w:t> </w:t>
      </w:r>
      <w:r>
        <w:rPr>
          <w:sz w:val="16"/>
        </w:rPr>
        <w:t>compensation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5"/>
          <w:sz w:val="16"/>
        </w:rPr>
        <w:t> </w:t>
      </w:r>
      <w:r>
        <w:rPr>
          <w:sz w:val="16"/>
        </w:rPr>
        <w:t>consideration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his</w:t>
      </w:r>
      <w:r>
        <w:rPr>
          <w:spacing w:val="-3"/>
          <w:sz w:val="16"/>
        </w:rPr>
        <w:t> </w:t>
      </w:r>
      <w:r>
        <w:rPr>
          <w:sz w:val="16"/>
        </w:rPr>
        <w:t>employment</w:t>
      </w:r>
      <w:r>
        <w:rPr>
          <w:spacing w:val="-3"/>
          <w:sz w:val="16"/>
        </w:rPr>
        <w:t> </w:t>
      </w:r>
      <w:r>
        <w:rPr>
          <w:sz w:val="16"/>
        </w:rPr>
        <w:t>as</w:t>
      </w:r>
      <w:r>
        <w:rPr>
          <w:spacing w:val="-4"/>
          <w:sz w:val="16"/>
        </w:rPr>
        <w:t> </w:t>
      </w:r>
      <w:r>
        <w:rPr>
          <w:sz w:val="16"/>
        </w:rPr>
        <w:t>Chairman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Board</w:t>
      </w:r>
      <w:r>
        <w:rPr>
          <w:spacing w:val="-4"/>
          <w:sz w:val="16"/>
        </w:rPr>
        <w:t> </w:t>
      </w:r>
      <w:r>
        <w:rPr>
          <w:sz w:val="16"/>
        </w:rPr>
        <w:t>is</w:t>
      </w:r>
      <w:r>
        <w:rPr>
          <w:spacing w:val="-4"/>
          <w:sz w:val="16"/>
        </w:rPr>
        <w:t> </w:t>
      </w:r>
      <w:r>
        <w:rPr>
          <w:sz w:val="16"/>
        </w:rPr>
        <w:t>appropriate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best</w:t>
      </w:r>
      <w:r>
        <w:rPr>
          <w:spacing w:val="-4"/>
          <w:sz w:val="16"/>
        </w:rPr>
        <w:t> </w:t>
      </w:r>
      <w:r>
        <w:rPr>
          <w:sz w:val="16"/>
        </w:rPr>
        <w:t>interests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our Company and our stockholders given his ongoing extraordinary contributions to the Company. Mr. Zell's financial acumen,</w:t>
      </w:r>
      <w:r>
        <w:rPr>
          <w:spacing w:val="1"/>
          <w:sz w:val="16"/>
        </w:rPr>
        <w:t> </w:t>
      </w:r>
      <w:r>
        <w:rPr>
          <w:sz w:val="16"/>
        </w:rPr>
        <w:t>extensive investment and management experience, business and strategic expertise and network of resources across the real</w:t>
      </w:r>
      <w:r>
        <w:rPr>
          <w:spacing w:val="1"/>
          <w:sz w:val="16"/>
        </w:rPr>
        <w:t> </w:t>
      </w:r>
      <w:r>
        <w:rPr>
          <w:sz w:val="16"/>
        </w:rPr>
        <w:t>estate industry provide significant benefits and unique opportunities to the Company and the Board. Mr. Zell brings a well-</w:t>
      </w:r>
      <w:r>
        <w:rPr>
          <w:spacing w:val="1"/>
          <w:sz w:val="16"/>
        </w:rPr>
        <w:t> </w:t>
      </w:r>
      <w:r>
        <w:rPr>
          <w:sz w:val="16"/>
        </w:rPr>
        <w:t>recognized brand value to the Company from his more than fifty years of experience in the real estate business and his unparalleled</w:t>
      </w:r>
      <w:r>
        <w:rPr>
          <w:spacing w:val="-42"/>
          <w:sz w:val="16"/>
        </w:rPr>
        <w:t> </w:t>
      </w:r>
      <w:r>
        <w:rPr>
          <w:sz w:val="16"/>
        </w:rPr>
        <w:t>role in the evolution of the REIT industry. Mr. Zell has regular interactions with the Company's executive management team,</w:t>
      </w:r>
      <w:r>
        <w:rPr>
          <w:spacing w:val="1"/>
          <w:sz w:val="16"/>
        </w:rPr>
        <w:t> </w:t>
      </w:r>
      <w:r>
        <w:rPr>
          <w:sz w:val="16"/>
        </w:rPr>
        <w:t>including with respect to operational strategy, acquisition opportunities and balance sheet management. In addition, Mr. Zell has a</w:t>
      </w:r>
      <w:r>
        <w:rPr>
          <w:spacing w:val="1"/>
          <w:sz w:val="16"/>
        </w:rPr>
        <w:t> </w:t>
      </w:r>
      <w:r>
        <w:rPr>
          <w:sz w:val="16"/>
        </w:rPr>
        <w:t>distinguished track record and reputation for successfully leading companies with a focus on corporate governance and proper</w:t>
      </w:r>
      <w:r>
        <w:rPr>
          <w:spacing w:val="1"/>
          <w:sz w:val="16"/>
        </w:rPr>
        <w:t> </w:t>
      </w:r>
      <w:r>
        <w:rPr>
          <w:sz w:val="16"/>
        </w:rPr>
        <w:t>alignment</w:t>
      </w:r>
      <w:r>
        <w:rPr>
          <w:spacing w:val="-1"/>
          <w:sz w:val="16"/>
        </w:rPr>
        <w:t> </w:t>
      </w:r>
      <w:r>
        <w:rPr>
          <w:sz w:val="16"/>
        </w:rPr>
        <w:t>of management and</w:t>
      </w:r>
      <w:r>
        <w:rPr>
          <w:spacing w:val="-1"/>
          <w:sz w:val="16"/>
        </w:rPr>
        <w:t> </w:t>
      </w:r>
      <w:r>
        <w:rPr>
          <w:sz w:val="16"/>
        </w:rPr>
        <w:t>stockholder</w:t>
      </w:r>
      <w:r>
        <w:rPr>
          <w:spacing w:val="-1"/>
          <w:sz w:val="16"/>
        </w:rPr>
        <w:t> </w:t>
      </w:r>
      <w:r>
        <w:rPr>
          <w:sz w:val="16"/>
        </w:rPr>
        <w:t>interests.</w:t>
      </w:r>
    </w:p>
    <w:p>
      <w:pPr>
        <w:spacing w:line="249" w:lineRule="auto" w:before="107"/>
        <w:ind w:left="1150" w:right="469" w:firstLine="0"/>
        <w:jc w:val="left"/>
        <w:rPr>
          <w:sz w:val="16"/>
        </w:rPr>
      </w:pPr>
      <w:r>
        <w:rPr>
          <w:sz w:val="16"/>
        </w:rPr>
        <w:t>Mr. Calian, Mr. Heneghan and Mr. Contis were each awarded shares of Restricted Common Stock for services rendered as</w:t>
      </w:r>
      <w:r>
        <w:rPr>
          <w:spacing w:val="1"/>
          <w:sz w:val="16"/>
        </w:rPr>
        <w:t> </w:t>
      </w:r>
      <w:r>
        <w:rPr>
          <w:sz w:val="16"/>
        </w:rPr>
        <w:t>Committee Chairpersons valued at $40,000, $40,000 and $20,000, respectively. In addition, Mr. Calian was awarded shares of</w:t>
      </w:r>
      <w:r>
        <w:rPr>
          <w:spacing w:val="1"/>
          <w:sz w:val="16"/>
        </w:rPr>
        <w:t> </w:t>
      </w:r>
      <w:r>
        <w:rPr>
          <w:sz w:val="16"/>
        </w:rPr>
        <w:t>Restricted</w:t>
      </w:r>
      <w:r>
        <w:rPr>
          <w:spacing w:val="-6"/>
          <w:sz w:val="16"/>
        </w:rPr>
        <w:t> </w:t>
      </w:r>
      <w:r>
        <w:rPr>
          <w:sz w:val="16"/>
        </w:rPr>
        <w:t>Common</w:t>
      </w:r>
      <w:r>
        <w:rPr>
          <w:spacing w:val="-6"/>
          <w:sz w:val="16"/>
        </w:rPr>
        <w:t> </w:t>
      </w:r>
      <w:r>
        <w:rPr>
          <w:sz w:val="16"/>
        </w:rPr>
        <w:t>Stock</w:t>
      </w:r>
      <w:r>
        <w:rPr>
          <w:spacing w:val="-5"/>
          <w:sz w:val="16"/>
        </w:rPr>
        <w:t> </w:t>
      </w:r>
      <w:r>
        <w:rPr>
          <w:sz w:val="16"/>
        </w:rPr>
        <w:t>valued</w:t>
      </w:r>
      <w:r>
        <w:rPr>
          <w:spacing w:val="-5"/>
          <w:sz w:val="16"/>
        </w:rPr>
        <w:t> </w:t>
      </w:r>
      <w:r>
        <w:rPr>
          <w:sz w:val="16"/>
        </w:rPr>
        <w:t>at</w:t>
      </w:r>
      <w:r>
        <w:rPr>
          <w:spacing w:val="-5"/>
          <w:sz w:val="16"/>
        </w:rPr>
        <w:t> </w:t>
      </w:r>
      <w:r>
        <w:rPr>
          <w:sz w:val="16"/>
        </w:rPr>
        <w:t>$40,000</w:t>
      </w:r>
      <w:r>
        <w:rPr>
          <w:spacing w:val="-6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services</w:t>
      </w:r>
      <w:r>
        <w:rPr>
          <w:spacing w:val="-5"/>
          <w:sz w:val="16"/>
        </w:rPr>
        <w:t> </w:t>
      </w:r>
      <w:r>
        <w:rPr>
          <w:sz w:val="16"/>
        </w:rPr>
        <w:t>rendered</w:t>
      </w:r>
      <w:r>
        <w:rPr>
          <w:spacing w:val="-6"/>
          <w:sz w:val="16"/>
        </w:rPr>
        <w:t> </w:t>
      </w:r>
      <w:r>
        <w:rPr>
          <w:sz w:val="16"/>
        </w:rPr>
        <w:t>as</w:t>
      </w:r>
      <w:r>
        <w:rPr>
          <w:spacing w:val="-5"/>
          <w:sz w:val="16"/>
        </w:rPr>
        <w:t> </w:t>
      </w:r>
      <w:r>
        <w:rPr>
          <w:sz w:val="16"/>
        </w:rPr>
        <w:t>Lead</w:t>
      </w:r>
      <w:r>
        <w:rPr>
          <w:spacing w:val="-5"/>
          <w:sz w:val="16"/>
        </w:rPr>
        <w:t> </w:t>
      </w:r>
      <w:r>
        <w:rPr>
          <w:sz w:val="16"/>
        </w:rPr>
        <w:t>Director.</w:t>
      </w:r>
      <w:r>
        <w:rPr>
          <w:spacing w:val="23"/>
          <w:sz w:val="16"/>
        </w:rPr>
        <w:t> </w:t>
      </w:r>
      <w:r>
        <w:rPr>
          <w:sz w:val="16"/>
        </w:rPr>
        <w:t>Accordingly,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5"/>
          <w:sz w:val="16"/>
        </w:rPr>
        <w:t> </w:t>
      </w:r>
      <w:r>
        <w:rPr>
          <w:sz w:val="16"/>
        </w:rPr>
        <w:t>Calian,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Heneghan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1"/>
          <w:sz w:val="16"/>
        </w:rPr>
        <w:t> </w:t>
      </w:r>
      <w:r>
        <w:rPr>
          <w:sz w:val="16"/>
        </w:rPr>
        <w:t>Mr.</w:t>
      </w:r>
      <w:r>
        <w:rPr>
          <w:spacing w:val="-2"/>
          <w:sz w:val="16"/>
        </w:rPr>
        <w:t> </w:t>
      </w:r>
      <w:r>
        <w:rPr>
          <w:sz w:val="16"/>
        </w:rPr>
        <w:t>Contis</w:t>
      </w:r>
      <w:r>
        <w:rPr>
          <w:spacing w:val="-1"/>
          <w:sz w:val="16"/>
        </w:rPr>
        <w:t> </w:t>
      </w:r>
      <w:r>
        <w:rPr>
          <w:sz w:val="16"/>
        </w:rPr>
        <w:t>were</w:t>
      </w:r>
      <w:r>
        <w:rPr>
          <w:spacing w:val="-2"/>
          <w:sz w:val="16"/>
        </w:rPr>
        <w:t> </w:t>
      </w:r>
      <w:r>
        <w:rPr>
          <w:sz w:val="16"/>
        </w:rPr>
        <w:t>each</w:t>
      </w:r>
      <w:r>
        <w:rPr>
          <w:spacing w:val="-2"/>
          <w:sz w:val="16"/>
        </w:rPr>
        <w:t> </w:t>
      </w:r>
      <w:r>
        <w:rPr>
          <w:sz w:val="16"/>
        </w:rPr>
        <w:t>awarded</w:t>
      </w:r>
      <w:r>
        <w:rPr>
          <w:spacing w:val="-2"/>
          <w:sz w:val="16"/>
        </w:rPr>
        <w:t> </w:t>
      </w:r>
      <w:r>
        <w:rPr>
          <w:sz w:val="16"/>
        </w:rPr>
        <w:t>1,164,</w:t>
      </w:r>
      <w:r>
        <w:rPr>
          <w:spacing w:val="-1"/>
          <w:sz w:val="16"/>
        </w:rPr>
        <w:t> </w:t>
      </w:r>
      <w:r>
        <w:rPr>
          <w:sz w:val="16"/>
        </w:rPr>
        <w:t>582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291</w:t>
      </w:r>
      <w:r>
        <w:rPr>
          <w:spacing w:val="-2"/>
          <w:sz w:val="16"/>
        </w:rPr>
        <w:t> </w:t>
      </w:r>
      <w:r>
        <w:rPr>
          <w:sz w:val="16"/>
        </w:rPr>
        <w:t>shares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Restricted</w:t>
      </w:r>
      <w:r>
        <w:rPr>
          <w:spacing w:val="-2"/>
          <w:sz w:val="16"/>
        </w:rPr>
        <w:t> </w:t>
      </w:r>
      <w:r>
        <w:rPr>
          <w:sz w:val="16"/>
        </w:rPr>
        <w:t>Common</w:t>
      </w:r>
      <w:r>
        <w:rPr>
          <w:spacing w:val="-2"/>
          <w:sz w:val="16"/>
        </w:rPr>
        <w:t> </w:t>
      </w:r>
      <w:r>
        <w:rPr>
          <w:sz w:val="16"/>
        </w:rPr>
        <w:t>Stock,</w:t>
      </w:r>
      <w:r>
        <w:rPr>
          <w:spacing w:val="-1"/>
          <w:sz w:val="16"/>
        </w:rPr>
        <w:t> </w:t>
      </w:r>
      <w:r>
        <w:rPr>
          <w:sz w:val="16"/>
        </w:rPr>
        <w:t>respectively.</w:t>
      </w:r>
    </w:p>
    <w:p>
      <w:pPr>
        <w:spacing w:line="249" w:lineRule="auto" w:before="103"/>
        <w:ind w:left="1150" w:right="282" w:firstLine="0"/>
        <w:jc w:val="left"/>
        <w:rPr>
          <w:sz w:val="16"/>
        </w:rPr>
      </w:pPr>
      <w:r>
        <w:rPr>
          <w:sz w:val="16"/>
        </w:rPr>
        <w:t>One-third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these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Restricted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2"/>
          <w:sz w:val="16"/>
        </w:rPr>
        <w:t> </w:t>
      </w:r>
      <w:r>
        <w:rPr>
          <w:sz w:val="16"/>
        </w:rPr>
        <w:t>will</w:t>
      </w:r>
      <w:r>
        <w:rPr>
          <w:spacing w:val="-3"/>
          <w:sz w:val="16"/>
        </w:rPr>
        <w:t> </w:t>
      </w:r>
      <w:r>
        <w:rPr>
          <w:sz w:val="16"/>
        </w:rPr>
        <w:t>vest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11"/>
          <w:sz w:val="16"/>
        </w:rPr>
        <w:t> </w:t>
      </w:r>
      <w:r>
        <w:rPr>
          <w:sz w:val="16"/>
        </w:rPr>
        <w:t>April</w:t>
      </w:r>
      <w:r>
        <w:rPr>
          <w:spacing w:val="-3"/>
          <w:sz w:val="16"/>
        </w:rPr>
        <w:t> </w:t>
      </w:r>
      <w:r>
        <w:rPr>
          <w:sz w:val="16"/>
        </w:rPr>
        <w:t>27,</w:t>
      </w:r>
      <w:r>
        <w:rPr>
          <w:spacing w:val="-2"/>
          <w:sz w:val="16"/>
        </w:rPr>
        <w:t> </w:t>
      </w:r>
      <w:r>
        <w:rPr>
          <w:sz w:val="16"/>
        </w:rPr>
        <w:t>2022,</w:t>
      </w:r>
      <w:r>
        <w:rPr>
          <w:spacing w:val="-3"/>
          <w:sz w:val="16"/>
        </w:rPr>
        <w:t> </w:t>
      </w:r>
      <w:r>
        <w:rPr>
          <w:sz w:val="16"/>
        </w:rPr>
        <w:t>one-third</w:t>
      </w:r>
      <w:r>
        <w:rPr>
          <w:spacing w:val="-3"/>
          <w:sz w:val="16"/>
        </w:rPr>
        <w:t> </w:t>
      </w:r>
      <w:r>
        <w:rPr>
          <w:sz w:val="16"/>
        </w:rPr>
        <w:t>will</w:t>
      </w:r>
      <w:r>
        <w:rPr>
          <w:spacing w:val="-3"/>
          <w:sz w:val="16"/>
        </w:rPr>
        <w:t> </w:t>
      </w:r>
      <w:r>
        <w:rPr>
          <w:sz w:val="16"/>
        </w:rPr>
        <w:t>vest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11"/>
          <w:sz w:val="16"/>
        </w:rPr>
        <w:t> </w:t>
      </w:r>
      <w:r>
        <w:rPr>
          <w:sz w:val="16"/>
        </w:rPr>
        <w:t>April</w:t>
      </w:r>
      <w:r>
        <w:rPr>
          <w:spacing w:val="-3"/>
          <w:sz w:val="16"/>
        </w:rPr>
        <w:t> </w:t>
      </w:r>
      <w:r>
        <w:rPr>
          <w:sz w:val="16"/>
        </w:rPr>
        <w:t>27,</w:t>
      </w:r>
      <w:r>
        <w:rPr>
          <w:spacing w:val="-2"/>
          <w:sz w:val="16"/>
        </w:rPr>
        <w:t> </w:t>
      </w:r>
      <w:r>
        <w:rPr>
          <w:sz w:val="16"/>
        </w:rPr>
        <w:t>2023,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one-third</w:t>
      </w:r>
      <w:r>
        <w:rPr>
          <w:spacing w:val="1"/>
          <w:sz w:val="16"/>
        </w:rPr>
        <w:t> </w:t>
      </w:r>
      <w:r>
        <w:rPr>
          <w:sz w:val="16"/>
        </w:rPr>
        <w:t>will</w:t>
      </w:r>
      <w:r>
        <w:rPr>
          <w:spacing w:val="-1"/>
          <w:sz w:val="16"/>
        </w:rPr>
        <w:t> </w:t>
      </w:r>
      <w:r>
        <w:rPr>
          <w:sz w:val="16"/>
        </w:rPr>
        <w:t>vest on</w:t>
      </w:r>
      <w:r>
        <w:rPr>
          <w:spacing w:val="-9"/>
          <w:sz w:val="16"/>
        </w:rPr>
        <w:t> </w:t>
      </w:r>
      <w:r>
        <w:rPr>
          <w:sz w:val="16"/>
        </w:rPr>
        <w:t>April 26, 2024.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  <w:tab w:pos="1150" w:val="left" w:leader="none"/>
        </w:tabs>
        <w:spacing w:line="249" w:lineRule="auto" w:before="101" w:after="0"/>
        <w:ind w:left="1150" w:right="342" w:hanging="360"/>
        <w:jc w:val="left"/>
        <w:rPr>
          <w:sz w:val="16"/>
        </w:rPr>
      </w:pPr>
      <w:r>
        <w:rPr>
          <w:sz w:val="16"/>
        </w:rPr>
        <w:t>With the exception of the Committee Chairpersons, each member of the Audit Committee received an award of 182 shares of</w:t>
      </w:r>
      <w:r>
        <w:rPr>
          <w:spacing w:val="1"/>
          <w:sz w:val="16"/>
        </w:rPr>
        <w:t> </w:t>
      </w:r>
      <w:r>
        <w:rPr>
          <w:sz w:val="16"/>
        </w:rPr>
        <w:t>Restricted Common Stock valued at $12,500 and each member of the Compensation Committee, the Executive Committee and the</w:t>
      </w:r>
      <w:r>
        <w:rPr>
          <w:spacing w:val="-42"/>
          <w:sz w:val="16"/>
        </w:rPr>
        <w:t> </w:t>
      </w:r>
      <w:r>
        <w:rPr>
          <w:sz w:val="16"/>
        </w:rPr>
        <w:t>Strategic Planning Committee received an award of 109 shares of Restricted Common Stock valued at $7,500 for their services on</w:t>
      </w:r>
      <w:r>
        <w:rPr>
          <w:spacing w:val="1"/>
          <w:sz w:val="16"/>
        </w:rPr>
        <w:t> </w:t>
      </w:r>
      <w:r>
        <w:rPr>
          <w:sz w:val="16"/>
        </w:rPr>
        <w:t>their respective Committees in 2021. Mr. Berkenfield and Ms. Freedman elected to take these shares as Stock Options and each</w:t>
      </w:r>
      <w:r>
        <w:rPr>
          <w:spacing w:val="1"/>
          <w:sz w:val="16"/>
        </w:rPr>
        <w:t> </w:t>
      </w:r>
      <w:r>
        <w:rPr>
          <w:sz w:val="16"/>
        </w:rPr>
        <w:t>received an award of 545 and 1,090 Stock Options, respectively. These shares of Restricted Common Stock and Stock Options will</w:t>
      </w:r>
      <w:r>
        <w:rPr>
          <w:spacing w:val="-42"/>
          <w:sz w:val="16"/>
        </w:rPr>
        <w:t> </w:t>
      </w:r>
      <w:r>
        <w:rPr>
          <w:sz w:val="16"/>
        </w:rPr>
        <w:t>vest</w:t>
      </w:r>
      <w:r>
        <w:rPr>
          <w:spacing w:val="-1"/>
          <w:sz w:val="16"/>
        </w:rPr>
        <w:t> </w:t>
      </w:r>
      <w:r>
        <w:rPr>
          <w:sz w:val="16"/>
        </w:rPr>
        <w:t>100% on</w:t>
      </w:r>
      <w:r>
        <w:rPr>
          <w:spacing w:val="-9"/>
          <w:sz w:val="16"/>
        </w:rPr>
        <w:t> </w:t>
      </w:r>
      <w:r>
        <w:rPr>
          <w:sz w:val="16"/>
        </w:rPr>
        <w:t>April 27, 2022.</w:t>
      </w:r>
    </w:p>
    <w:p>
      <w:pPr>
        <w:pStyle w:val="ListParagraph"/>
        <w:numPr>
          <w:ilvl w:val="1"/>
          <w:numId w:val="14"/>
        </w:numPr>
        <w:tabs>
          <w:tab w:pos="1149" w:val="left" w:leader="none"/>
          <w:tab w:pos="1150" w:val="left" w:leader="none"/>
        </w:tabs>
        <w:spacing w:line="249" w:lineRule="auto" w:before="104" w:after="0"/>
        <w:ind w:left="1150" w:right="426" w:hanging="360"/>
        <w:jc w:val="left"/>
        <w:rPr>
          <w:sz w:val="16"/>
        </w:rPr>
      </w:pPr>
      <w:r>
        <w:rPr>
          <w:sz w:val="16"/>
        </w:rPr>
        <w:t>Each</w:t>
      </w:r>
      <w:r>
        <w:rPr>
          <w:spacing w:val="-4"/>
          <w:sz w:val="16"/>
        </w:rPr>
        <w:t> </w:t>
      </w:r>
      <w:r>
        <w:rPr>
          <w:sz w:val="16"/>
        </w:rPr>
        <w:t>non-executive</w:t>
      </w:r>
      <w:r>
        <w:rPr>
          <w:spacing w:val="-4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received</w:t>
      </w:r>
      <w:r>
        <w:rPr>
          <w:spacing w:val="-4"/>
          <w:sz w:val="16"/>
        </w:rPr>
        <w:t> </w:t>
      </w:r>
      <w:r>
        <w:rPr>
          <w:sz w:val="16"/>
        </w:rPr>
        <w:t>an</w:t>
      </w:r>
      <w:r>
        <w:rPr>
          <w:spacing w:val="-3"/>
          <w:sz w:val="16"/>
        </w:rPr>
        <w:t> </w:t>
      </w:r>
      <w:r>
        <w:rPr>
          <w:sz w:val="16"/>
        </w:rPr>
        <w:t>award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Restricted</w:t>
      </w:r>
      <w:r>
        <w:rPr>
          <w:spacing w:val="-4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their</w:t>
      </w:r>
      <w:r>
        <w:rPr>
          <w:spacing w:val="-3"/>
          <w:sz w:val="16"/>
        </w:rPr>
        <w:t> </w:t>
      </w:r>
      <w:r>
        <w:rPr>
          <w:sz w:val="16"/>
        </w:rPr>
        <w:t>services</w:t>
      </w:r>
      <w:r>
        <w:rPr>
          <w:spacing w:val="-3"/>
          <w:sz w:val="16"/>
        </w:rPr>
        <w:t> </w:t>
      </w:r>
      <w:r>
        <w:rPr>
          <w:sz w:val="16"/>
        </w:rPr>
        <w:t>rendered</w:t>
      </w:r>
      <w:r>
        <w:rPr>
          <w:spacing w:val="-4"/>
          <w:sz w:val="16"/>
        </w:rPr>
        <w:t> </w:t>
      </w:r>
      <w:r>
        <w:rPr>
          <w:sz w:val="16"/>
        </w:rPr>
        <w:t>as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during</w:t>
      </w:r>
      <w:r>
        <w:rPr>
          <w:spacing w:val="-4"/>
          <w:sz w:val="16"/>
        </w:rPr>
        <w:t> </w:t>
      </w:r>
      <w:r>
        <w:rPr>
          <w:sz w:val="16"/>
        </w:rPr>
        <w:t>2021.</w:t>
      </w:r>
      <w:r>
        <w:rPr>
          <w:spacing w:val="1"/>
          <w:sz w:val="16"/>
        </w:rPr>
        <w:t> </w:t>
      </w:r>
      <w:r>
        <w:rPr>
          <w:sz w:val="16"/>
        </w:rPr>
        <w:t>With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exception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Mr.</w:t>
      </w:r>
      <w:r>
        <w:rPr>
          <w:spacing w:val="-3"/>
          <w:sz w:val="16"/>
        </w:rPr>
        <w:t> </w:t>
      </w:r>
      <w:r>
        <w:rPr>
          <w:sz w:val="16"/>
        </w:rPr>
        <w:t>Berkenfield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Ms.</w:t>
      </w:r>
      <w:r>
        <w:rPr>
          <w:spacing w:val="-2"/>
          <w:sz w:val="16"/>
        </w:rPr>
        <w:t> </w:t>
      </w:r>
      <w:r>
        <w:rPr>
          <w:sz w:val="16"/>
        </w:rPr>
        <w:t>Freedman,</w:t>
      </w:r>
      <w:r>
        <w:rPr>
          <w:spacing w:val="-3"/>
          <w:sz w:val="16"/>
        </w:rPr>
        <w:t> </w:t>
      </w:r>
      <w:r>
        <w:rPr>
          <w:sz w:val="16"/>
        </w:rPr>
        <w:t>each</w:t>
      </w:r>
      <w:r>
        <w:rPr>
          <w:spacing w:val="-3"/>
          <w:sz w:val="16"/>
        </w:rPr>
        <w:t> </w:t>
      </w:r>
      <w:r>
        <w:rPr>
          <w:sz w:val="16"/>
        </w:rPr>
        <w:t>recipient</w:t>
      </w:r>
      <w:r>
        <w:rPr>
          <w:spacing w:val="-3"/>
          <w:sz w:val="16"/>
        </w:rPr>
        <w:t> </w:t>
      </w:r>
      <w:r>
        <w:rPr>
          <w:sz w:val="16"/>
        </w:rPr>
        <w:t>elected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take</w:t>
      </w:r>
      <w:r>
        <w:rPr>
          <w:spacing w:val="-3"/>
          <w:sz w:val="16"/>
        </w:rPr>
        <w:t> </w:t>
      </w:r>
      <w:r>
        <w:rPr>
          <w:sz w:val="16"/>
        </w:rPr>
        <w:t>this</w:t>
      </w:r>
      <w:r>
        <w:rPr>
          <w:spacing w:val="-3"/>
          <w:sz w:val="16"/>
        </w:rPr>
        <w:t> </w:t>
      </w:r>
      <w:r>
        <w:rPr>
          <w:sz w:val="16"/>
        </w:rPr>
        <w:t>award</w:t>
      </w:r>
      <w:r>
        <w:rPr>
          <w:spacing w:val="-3"/>
          <w:sz w:val="16"/>
        </w:rPr>
        <w:t> </w:t>
      </w:r>
      <w:r>
        <w:rPr>
          <w:sz w:val="16"/>
        </w:rPr>
        <w:t>as</w:t>
      </w:r>
      <w:r>
        <w:rPr>
          <w:spacing w:val="-3"/>
          <w:sz w:val="16"/>
        </w:rPr>
        <w:t> </w:t>
      </w:r>
      <w:r>
        <w:rPr>
          <w:sz w:val="16"/>
        </w:rPr>
        <w:t>Restricted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Stock.</w:t>
      </w:r>
    </w:p>
    <w:p>
      <w:pPr>
        <w:spacing w:line="249" w:lineRule="auto" w:before="1"/>
        <w:ind w:left="1150" w:right="0" w:firstLine="0"/>
        <w:jc w:val="left"/>
        <w:rPr>
          <w:sz w:val="16"/>
        </w:rPr>
      </w:pPr>
      <w:r>
        <w:rPr>
          <w:sz w:val="16"/>
        </w:rPr>
        <w:t>Mr.</w:t>
      </w:r>
      <w:r>
        <w:rPr>
          <w:spacing w:val="-5"/>
          <w:sz w:val="16"/>
        </w:rPr>
        <w:t> </w:t>
      </w:r>
      <w:r>
        <w:rPr>
          <w:sz w:val="16"/>
        </w:rPr>
        <w:t>Burks,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Calian,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Contis,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5"/>
          <w:sz w:val="16"/>
        </w:rPr>
        <w:t> </w:t>
      </w:r>
      <w:r>
        <w:rPr>
          <w:sz w:val="16"/>
        </w:rPr>
        <w:t>Heneghan,</w:t>
      </w:r>
      <w:r>
        <w:rPr>
          <w:spacing w:val="-4"/>
          <w:sz w:val="16"/>
        </w:rPr>
        <w:t> </w:t>
      </w:r>
      <w:r>
        <w:rPr>
          <w:sz w:val="16"/>
        </w:rPr>
        <w:t>Mr.</w:t>
      </w:r>
      <w:r>
        <w:rPr>
          <w:spacing w:val="-5"/>
          <w:sz w:val="16"/>
        </w:rPr>
        <w:t> </w:t>
      </w:r>
      <w:r>
        <w:rPr>
          <w:sz w:val="16"/>
        </w:rPr>
        <w:t>Peppet,</w:t>
      </w:r>
      <w:r>
        <w:rPr>
          <w:spacing w:val="-4"/>
          <w:sz w:val="16"/>
        </w:rPr>
        <w:t> </w:t>
      </w:r>
      <w:r>
        <w:rPr>
          <w:sz w:val="16"/>
        </w:rPr>
        <w:t>Ms.</w:t>
      </w:r>
      <w:r>
        <w:rPr>
          <w:spacing w:val="-5"/>
          <w:sz w:val="16"/>
        </w:rPr>
        <w:t> </w:t>
      </w:r>
      <w:r>
        <w:rPr>
          <w:sz w:val="16"/>
        </w:rPr>
        <w:t>Rosenberg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5"/>
          <w:sz w:val="16"/>
        </w:rPr>
        <w:t> </w:t>
      </w:r>
      <w:r>
        <w:rPr>
          <w:sz w:val="16"/>
        </w:rPr>
        <w:t>Zell</w:t>
      </w:r>
      <w:r>
        <w:rPr>
          <w:spacing w:val="-4"/>
          <w:sz w:val="16"/>
        </w:rPr>
        <w:t> </w:t>
      </w:r>
      <w:r>
        <w:rPr>
          <w:sz w:val="16"/>
        </w:rPr>
        <w:t>each</w:t>
      </w:r>
      <w:r>
        <w:rPr>
          <w:spacing w:val="-6"/>
          <w:sz w:val="16"/>
        </w:rPr>
        <w:t> </w:t>
      </w:r>
      <w:r>
        <w:rPr>
          <w:sz w:val="16"/>
        </w:rPr>
        <w:t>received</w:t>
      </w:r>
      <w:r>
        <w:rPr>
          <w:spacing w:val="-5"/>
          <w:sz w:val="16"/>
        </w:rPr>
        <w:t> </w:t>
      </w:r>
      <w:r>
        <w:rPr>
          <w:sz w:val="16"/>
        </w:rPr>
        <w:t>an</w:t>
      </w:r>
      <w:r>
        <w:rPr>
          <w:spacing w:val="-6"/>
          <w:sz w:val="16"/>
        </w:rPr>
        <w:t> </w:t>
      </w:r>
      <w:r>
        <w:rPr>
          <w:sz w:val="16"/>
        </w:rPr>
        <w:t>award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1,455</w:t>
      </w:r>
      <w:r>
        <w:rPr>
          <w:spacing w:val="-5"/>
          <w:sz w:val="16"/>
        </w:rPr>
        <w:t> </w:t>
      </w:r>
      <w:r>
        <w:rPr>
          <w:sz w:val="16"/>
        </w:rPr>
        <w:t>shares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Restricted</w:t>
      </w:r>
      <w:r>
        <w:rPr>
          <w:spacing w:val="-4"/>
          <w:sz w:val="16"/>
        </w:rPr>
        <w:t> </w:t>
      </w:r>
      <w:r>
        <w:rPr>
          <w:sz w:val="16"/>
        </w:rPr>
        <w:t>Common</w:t>
      </w:r>
      <w:r>
        <w:rPr>
          <w:spacing w:val="-3"/>
          <w:sz w:val="16"/>
        </w:rPr>
        <w:t> </w:t>
      </w:r>
      <w:r>
        <w:rPr>
          <w:sz w:val="16"/>
        </w:rPr>
        <w:t>Stock</w:t>
      </w:r>
      <w:r>
        <w:rPr>
          <w:spacing w:val="-2"/>
          <w:sz w:val="16"/>
        </w:rPr>
        <w:t> </w:t>
      </w:r>
      <w:r>
        <w:rPr>
          <w:sz w:val="16"/>
        </w:rPr>
        <w:t>valued</w:t>
      </w:r>
      <w:r>
        <w:rPr>
          <w:spacing w:val="-4"/>
          <w:sz w:val="16"/>
        </w:rPr>
        <w:t> </w:t>
      </w:r>
      <w:r>
        <w:rPr>
          <w:sz w:val="16"/>
        </w:rPr>
        <w:t>at</w:t>
      </w:r>
      <w:r>
        <w:rPr>
          <w:spacing w:val="-2"/>
          <w:sz w:val="16"/>
        </w:rPr>
        <w:t> </w:t>
      </w:r>
      <w:r>
        <w:rPr>
          <w:sz w:val="16"/>
        </w:rPr>
        <w:t>$100,000.</w:t>
      </w:r>
      <w:r>
        <w:rPr>
          <w:spacing w:val="40"/>
          <w:sz w:val="16"/>
        </w:rPr>
        <w:t> </w:t>
      </w:r>
      <w:r>
        <w:rPr>
          <w:sz w:val="16"/>
        </w:rPr>
        <w:t>Mr.</w:t>
      </w:r>
      <w:r>
        <w:rPr>
          <w:spacing w:val="-2"/>
          <w:sz w:val="16"/>
        </w:rPr>
        <w:t> </w:t>
      </w:r>
      <w:r>
        <w:rPr>
          <w:sz w:val="16"/>
        </w:rPr>
        <w:t>Berkenfield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Ms.</w:t>
      </w:r>
      <w:r>
        <w:rPr>
          <w:spacing w:val="-2"/>
          <w:sz w:val="16"/>
        </w:rPr>
        <w:t> </w:t>
      </w:r>
      <w:r>
        <w:rPr>
          <w:sz w:val="16"/>
        </w:rPr>
        <w:t>Freedman</w:t>
      </w:r>
      <w:r>
        <w:rPr>
          <w:spacing w:val="-4"/>
          <w:sz w:val="16"/>
        </w:rPr>
        <w:t> </w:t>
      </w:r>
      <w:r>
        <w:rPr>
          <w:sz w:val="16"/>
        </w:rPr>
        <w:t>elected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z w:val="16"/>
        </w:rPr>
        <w:t>take</w:t>
      </w:r>
      <w:r>
        <w:rPr>
          <w:spacing w:val="-3"/>
          <w:sz w:val="16"/>
        </w:rPr>
        <w:t> </w:t>
      </w:r>
      <w:r>
        <w:rPr>
          <w:sz w:val="16"/>
        </w:rPr>
        <w:t>these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2"/>
          <w:sz w:val="16"/>
        </w:rPr>
        <w:t> </w:t>
      </w:r>
      <w:r>
        <w:rPr>
          <w:sz w:val="16"/>
        </w:rPr>
        <w:t>as</w:t>
      </w:r>
      <w:r>
        <w:rPr>
          <w:spacing w:val="-2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Options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240" w:h="15840"/>
          <w:pgMar w:header="0" w:footer="517" w:top="860" w:bottom="280" w:left="740" w:right="700"/>
        </w:sectPr>
      </w:pPr>
    </w:p>
    <w:p>
      <w:pPr>
        <w:spacing w:line="249" w:lineRule="auto" w:before="81"/>
        <w:ind w:left="1150" w:right="608" w:firstLine="0"/>
        <w:jc w:val="left"/>
        <w:rPr>
          <w:sz w:val="16"/>
        </w:rPr>
      </w:pPr>
      <w:r>
        <w:rPr>
          <w:sz w:val="16"/>
        </w:rPr>
        <w:t>and they each received an award of 7,275 Stock Options. One-third of these shares of Restricted Common Stock and Stock</w:t>
      </w:r>
      <w:r>
        <w:rPr>
          <w:spacing w:val="-42"/>
          <w:sz w:val="16"/>
        </w:rPr>
        <w:t> </w:t>
      </w:r>
      <w:r>
        <w:rPr>
          <w:sz w:val="16"/>
        </w:rPr>
        <w:t>Options</w:t>
      </w:r>
      <w:r>
        <w:rPr>
          <w:spacing w:val="-2"/>
          <w:sz w:val="16"/>
        </w:rPr>
        <w:t> </w:t>
      </w:r>
      <w:r>
        <w:rPr>
          <w:sz w:val="16"/>
        </w:rPr>
        <w:t>vested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October</w:t>
      </w:r>
      <w:r>
        <w:rPr>
          <w:spacing w:val="-1"/>
          <w:sz w:val="16"/>
        </w:rPr>
        <w:t> </w:t>
      </w:r>
      <w:r>
        <w:rPr>
          <w:sz w:val="16"/>
        </w:rPr>
        <w:t>27,</w:t>
      </w:r>
      <w:r>
        <w:rPr>
          <w:spacing w:val="-1"/>
          <w:sz w:val="16"/>
        </w:rPr>
        <w:t> </w:t>
      </w:r>
      <w:r>
        <w:rPr>
          <w:sz w:val="16"/>
        </w:rPr>
        <w:t>2021,</w:t>
      </w:r>
      <w:r>
        <w:rPr>
          <w:spacing w:val="-2"/>
          <w:sz w:val="16"/>
        </w:rPr>
        <w:t> </w:t>
      </w:r>
      <w:r>
        <w:rPr>
          <w:sz w:val="16"/>
        </w:rPr>
        <w:t>one-third</w:t>
      </w:r>
      <w:r>
        <w:rPr>
          <w:spacing w:val="-2"/>
          <w:sz w:val="16"/>
        </w:rPr>
        <w:t> </w:t>
      </w:r>
      <w:r>
        <w:rPr>
          <w:sz w:val="16"/>
        </w:rPr>
        <w:t>will</w:t>
      </w:r>
      <w:r>
        <w:rPr>
          <w:spacing w:val="-2"/>
          <w:sz w:val="16"/>
        </w:rPr>
        <w:t> </w:t>
      </w:r>
      <w:r>
        <w:rPr>
          <w:sz w:val="16"/>
        </w:rPr>
        <w:t>vest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10"/>
          <w:sz w:val="16"/>
        </w:rPr>
        <w:t> </w:t>
      </w:r>
      <w:r>
        <w:rPr>
          <w:sz w:val="16"/>
        </w:rPr>
        <w:t>April</w:t>
      </w:r>
      <w:r>
        <w:rPr>
          <w:spacing w:val="-1"/>
          <w:sz w:val="16"/>
        </w:rPr>
        <w:t> </w:t>
      </w:r>
      <w:r>
        <w:rPr>
          <w:sz w:val="16"/>
        </w:rPr>
        <w:t>27,</w:t>
      </w:r>
      <w:r>
        <w:rPr>
          <w:spacing w:val="-2"/>
          <w:sz w:val="16"/>
        </w:rPr>
        <w:t> </w:t>
      </w:r>
      <w:r>
        <w:rPr>
          <w:sz w:val="16"/>
        </w:rPr>
        <w:t>2022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one-third</w:t>
      </w:r>
      <w:r>
        <w:rPr>
          <w:spacing w:val="-2"/>
          <w:sz w:val="16"/>
        </w:rPr>
        <w:t> </w:t>
      </w:r>
      <w:r>
        <w:rPr>
          <w:sz w:val="16"/>
        </w:rPr>
        <w:t>will</w:t>
      </w:r>
      <w:r>
        <w:rPr>
          <w:spacing w:val="-1"/>
          <w:sz w:val="16"/>
        </w:rPr>
        <w:t> </w:t>
      </w:r>
      <w:r>
        <w:rPr>
          <w:sz w:val="16"/>
        </w:rPr>
        <w:t>vest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10"/>
          <w:sz w:val="16"/>
        </w:rPr>
        <w:t> </w:t>
      </w:r>
      <w:r>
        <w:rPr>
          <w:sz w:val="16"/>
        </w:rPr>
        <w:t>April</w:t>
      </w:r>
      <w:r>
        <w:rPr>
          <w:spacing w:val="-1"/>
          <w:sz w:val="16"/>
        </w:rPr>
        <w:t> </w:t>
      </w:r>
      <w:r>
        <w:rPr>
          <w:sz w:val="16"/>
        </w:rPr>
        <w:t>27,</w:t>
      </w:r>
      <w:r>
        <w:rPr>
          <w:spacing w:val="-2"/>
          <w:sz w:val="16"/>
        </w:rPr>
        <w:t> </w:t>
      </w:r>
      <w:r>
        <w:rPr>
          <w:sz w:val="16"/>
        </w:rPr>
        <w:t>2023.</w:t>
      </w:r>
    </w:p>
    <w:p>
      <w:pPr>
        <w:spacing w:line="249" w:lineRule="auto" w:before="101"/>
        <w:ind w:left="610" w:right="282" w:firstLine="0"/>
        <w:jc w:val="left"/>
        <w:rPr>
          <w:sz w:val="16"/>
        </w:rPr>
      </w:pPr>
      <w:r>
        <w:rPr>
          <w:sz w:val="16"/>
        </w:rPr>
        <w:t>On February 9, 2021, the Board appointed Mr. Berkenfield as a member of the Strategic Planning Committee and approved a pro-rated</w:t>
      </w:r>
      <w:r>
        <w:rPr>
          <w:spacing w:val="1"/>
          <w:sz w:val="16"/>
        </w:rPr>
        <w:t> </w:t>
      </w:r>
      <w:r>
        <w:rPr>
          <w:sz w:val="16"/>
        </w:rPr>
        <w:t>award of 29 shares of Restricted Common Stock to Mr. Berkenfield for his services in this capacity during 2021. These shares were granted</w:t>
      </w:r>
      <w:r>
        <w:rPr>
          <w:spacing w:val="-42"/>
          <w:sz w:val="16"/>
        </w:rPr>
        <w:t> </w:t>
      </w:r>
      <w:r>
        <w:rPr>
          <w:sz w:val="16"/>
        </w:rPr>
        <w:t>at a per share price of $63.78, the NYSE closing price of the Company’s Common Stock on February 9, 2021 and such shares vested on</w:t>
      </w:r>
      <w:r>
        <w:rPr>
          <w:spacing w:val="1"/>
          <w:sz w:val="16"/>
        </w:rPr>
        <w:t> </w:t>
      </w:r>
      <w:r>
        <w:rPr>
          <w:sz w:val="16"/>
        </w:rPr>
        <w:t>February</w:t>
      </w:r>
      <w:r>
        <w:rPr>
          <w:spacing w:val="-1"/>
          <w:sz w:val="16"/>
        </w:rPr>
        <w:t> </w:t>
      </w:r>
      <w:r>
        <w:rPr>
          <w:sz w:val="16"/>
        </w:rPr>
        <w:t>9, 2022.</w:t>
      </w:r>
    </w:p>
    <w:p>
      <w:pPr>
        <w:spacing w:line="249" w:lineRule="auto" w:before="103"/>
        <w:ind w:left="610" w:right="0" w:firstLine="0"/>
        <w:jc w:val="left"/>
        <w:rPr>
          <w:sz w:val="16"/>
        </w:rPr>
      </w:pPr>
      <w:r>
        <w:rPr>
          <w:sz w:val="16"/>
        </w:rPr>
        <w:t>As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December</w:t>
      </w:r>
      <w:r>
        <w:rPr>
          <w:spacing w:val="-3"/>
          <w:sz w:val="16"/>
        </w:rPr>
        <w:t> </w:t>
      </w:r>
      <w:r>
        <w:rPr>
          <w:sz w:val="16"/>
        </w:rPr>
        <w:t>31,</w:t>
      </w:r>
      <w:r>
        <w:rPr>
          <w:spacing w:val="-3"/>
          <w:sz w:val="16"/>
        </w:rPr>
        <w:t> </w:t>
      </w:r>
      <w:r>
        <w:rPr>
          <w:sz w:val="16"/>
        </w:rPr>
        <w:t>2021,</w:t>
      </w:r>
      <w:r>
        <w:rPr>
          <w:spacing w:val="-3"/>
          <w:sz w:val="16"/>
        </w:rPr>
        <w:t> </w:t>
      </w:r>
      <w:r>
        <w:rPr>
          <w:sz w:val="16"/>
        </w:rPr>
        <w:t>each</w:t>
      </w:r>
      <w:r>
        <w:rPr>
          <w:spacing w:val="-4"/>
          <w:sz w:val="16"/>
        </w:rPr>
        <w:t> </w:t>
      </w:r>
      <w:r>
        <w:rPr>
          <w:sz w:val="16"/>
        </w:rPr>
        <w:t>non-executive</w:t>
      </w:r>
      <w:r>
        <w:rPr>
          <w:spacing w:val="-5"/>
          <w:sz w:val="16"/>
        </w:rPr>
        <w:t> </w:t>
      </w:r>
      <w:r>
        <w:rPr>
          <w:sz w:val="16"/>
        </w:rPr>
        <w:t>Director</w:t>
      </w:r>
      <w:r>
        <w:rPr>
          <w:spacing w:val="-3"/>
          <w:sz w:val="16"/>
        </w:rPr>
        <w:t> </w:t>
      </w:r>
      <w:r>
        <w:rPr>
          <w:sz w:val="16"/>
        </w:rPr>
        <w:t>had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following</w:t>
      </w:r>
      <w:r>
        <w:rPr>
          <w:spacing w:val="-4"/>
          <w:sz w:val="16"/>
        </w:rPr>
        <w:t> </w:t>
      </w:r>
      <w:r>
        <w:rPr>
          <w:sz w:val="16"/>
        </w:rPr>
        <w:t>unexercised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Options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unvested</w:t>
      </w:r>
      <w:r>
        <w:rPr>
          <w:spacing w:val="-4"/>
          <w:sz w:val="16"/>
        </w:rPr>
        <w:t> </w:t>
      </w:r>
      <w:r>
        <w:rPr>
          <w:sz w:val="16"/>
        </w:rPr>
        <w:t>Restricted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awards</w:t>
      </w:r>
      <w:r>
        <w:rPr>
          <w:spacing w:val="1"/>
          <w:sz w:val="16"/>
        </w:rPr>
        <w:t> </w:t>
      </w:r>
      <w:r>
        <w:rPr>
          <w:sz w:val="16"/>
        </w:rPr>
        <w:t>outstanding:</w:t>
      </w:r>
    </w:p>
    <w:p>
      <w:pPr>
        <w:pStyle w:val="BodyText"/>
      </w:pPr>
    </w:p>
    <w:p>
      <w:pPr>
        <w:pStyle w:val="BodyText"/>
        <w:spacing w:after="1"/>
        <w:rPr>
          <w:sz w:val="14"/>
        </w:rPr>
      </w:pPr>
    </w:p>
    <w:tbl>
      <w:tblPr>
        <w:tblW w:w="0" w:type="auto"/>
        <w:jc w:val="left"/>
        <w:tblInd w:w="12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9"/>
        <w:gridCol w:w="2524"/>
        <w:gridCol w:w="2105"/>
        <w:gridCol w:w="1938"/>
      </w:tblGrid>
      <w:tr>
        <w:trPr>
          <w:trHeight w:val="678" w:hRule="atLeast"/>
        </w:trPr>
        <w:tc>
          <w:tcPr>
            <w:tcW w:w="2119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sz w:val="18"/>
              </w:rPr>
            </w:pPr>
          </w:p>
          <w:p>
            <w:pPr>
              <w:pStyle w:val="TableParagraph"/>
              <w:spacing w:line="240" w:lineRule="auto" w:before="3"/>
              <w:jc w:val="left"/>
              <w:rPr>
                <w:sz w:val="23"/>
              </w:rPr>
            </w:pPr>
          </w:p>
          <w:p>
            <w:pPr>
              <w:pStyle w:val="TableParagraph"/>
              <w:spacing w:before="0"/>
              <w:ind w:left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Name</w:t>
            </w:r>
          </w:p>
        </w:tc>
        <w:tc>
          <w:tcPr>
            <w:tcW w:w="2524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08" w:lineRule="auto" w:before="14"/>
              <w:ind w:left="528" w:right="1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Number of Securities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Underlying </w:t>
            </w:r>
            <w:r>
              <w:rPr>
                <w:b/>
                <w:sz w:val="16"/>
              </w:rPr>
              <w:t>Unexercised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Options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(#)</w:t>
            </w:r>
          </w:p>
          <w:p>
            <w:pPr>
              <w:pStyle w:val="TableParagraph"/>
              <w:spacing w:line="164" w:lineRule="exact" w:before="0"/>
              <w:ind w:left="526" w:right="16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Exercisable</w:t>
            </w:r>
          </w:p>
        </w:tc>
        <w:tc>
          <w:tcPr>
            <w:tcW w:w="2105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08" w:lineRule="auto" w:before="14"/>
              <w:ind w:left="104" w:right="16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Number of Securities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pacing w:val="-1"/>
                <w:sz w:val="16"/>
              </w:rPr>
              <w:t>Underlying </w:t>
            </w:r>
            <w:r>
              <w:rPr>
                <w:b/>
                <w:sz w:val="16"/>
              </w:rPr>
              <w:t>Unexercised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Options (#)</w:t>
            </w:r>
            <w:r>
              <w:rPr>
                <w:b/>
                <w:spacing w:val="1"/>
                <w:sz w:val="16"/>
              </w:rPr>
              <w:t> </w:t>
            </w:r>
            <w:r>
              <w:rPr>
                <w:b/>
                <w:sz w:val="16"/>
              </w:rPr>
              <w:t>Unexercisable</w:t>
            </w:r>
          </w:p>
        </w:tc>
        <w:tc>
          <w:tcPr>
            <w:tcW w:w="1938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40" w:lineRule="auto" w:before="1"/>
              <w:jc w:val="left"/>
              <w:rPr>
                <w:sz w:val="15"/>
              </w:rPr>
            </w:pPr>
          </w:p>
          <w:p>
            <w:pPr>
              <w:pStyle w:val="TableParagraph"/>
              <w:spacing w:line="208" w:lineRule="auto" w:before="0"/>
              <w:ind w:left="168" w:right="1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Number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Shares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Stock That Have Not</w:t>
            </w:r>
            <w:r>
              <w:rPr>
                <w:b/>
                <w:spacing w:val="-42"/>
                <w:sz w:val="16"/>
              </w:rPr>
              <w:t> </w:t>
            </w:r>
            <w:r>
              <w:rPr>
                <w:b/>
                <w:sz w:val="16"/>
              </w:rPr>
              <w:t>Vested</w:t>
            </w:r>
          </w:p>
        </w:tc>
      </w:tr>
      <w:tr>
        <w:trPr>
          <w:trHeight w:val="280" w:hRule="atLeast"/>
        </w:trPr>
        <w:tc>
          <w:tcPr>
            <w:tcW w:w="2119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Andrew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Berkenfield</w:t>
            </w:r>
          </w:p>
        </w:tc>
        <w:tc>
          <w:tcPr>
            <w:tcW w:w="2524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7,415</w:t>
            </w:r>
          </w:p>
        </w:tc>
        <w:tc>
          <w:tcPr>
            <w:tcW w:w="2105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69"/>
              <w:rPr>
                <w:sz w:val="16"/>
              </w:rPr>
            </w:pPr>
            <w:r>
              <w:rPr>
                <w:sz w:val="16"/>
              </w:rPr>
              <w:t>7,890</w:t>
            </w:r>
          </w:p>
        </w:tc>
        <w:tc>
          <w:tcPr>
            <w:tcW w:w="1938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67"/>
              <w:rPr>
                <w:sz w:val="16"/>
              </w:rPr>
            </w:pPr>
            <w:r>
              <w:rPr>
                <w:sz w:val="16"/>
              </w:rPr>
              <w:t>29</w:t>
            </w:r>
          </w:p>
        </w:tc>
      </w:tr>
      <w:tr>
        <w:trPr>
          <w:trHeight w:val="280" w:hRule="atLeast"/>
        </w:trPr>
        <w:tc>
          <w:tcPr>
            <w:tcW w:w="21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Derrick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Burks</w:t>
            </w:r>
          </w:p>
        </w:tc>
        <w:tc>
          <w:tcPr>
            <w:tcW w:w="252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1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69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93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67"/>
              <w:rPr>
                <w:sz w:val="16"/>
              </w:rPr>
            </w:pPr>
            <w:r>
              <w:rPr>
                <w:sz w:val="16"/>
              </w:rPr>
              <w:t>1,152</w:t>
            </w:r>
          </w:p>
        </w:tc>
      </w:tr>
      <w:tr>
        <w:trPr>
          <w:trHeight w:val="280" w:hRule="atLeast"/>
        </w:trPr>
        <w:tc>
          <w:tcPr>
            <w:tcW w:w="21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Philip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Calian</w:t>
            </w:r>
          </w:p>
        </w:tc>
        <w:tc>
          <w:tcPr>
            <w:tcW w:w="252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1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69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93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67"/>
              <w:rPr>
                <w:sz w:val="16"/>
              </w:rPr>
            </w:pPr>
            <w:r>
              <w:rPr>
                <w:sz w:val="16"/>
              </w:rPr>
              <w:t>4,111</w:t>
            </w:r>
          </w:p>
        </w:tc>
      </w:tr>
      <w:tr>
        <w:trPr>
          <w:trHeight w:val="280" w:hRule="atLeast"/>
        </w:trPr>
        <w:tc>
          <w:tcPr>
            <w:tcW w:w="21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Contis</w:t>
            </w:r>
          </w:p>
        </w:tc>
        <w:tc>
          <w:tcPr>
            <w:tcW w:w="252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1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69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93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67"/>
              <w:rPr>
                <w:sz w:val="16"/>
              </w:rPr>
            </w:pPr>
            <w:r>
              <w:rPr>
                <w:sz w:val="16"/>
              </w:rPr>
              <w:t>2,572</w:t>
            </w:r>
          </w:p>
        </w:tc>
      </w:tr>
      <w:tr>
        <w:trPr>
          <w:trHeight w:val="280" w:hRule="atLeast"/>
        </w:trPr>
        <w:tc>
          <w:tcPr>
            <w:tcW w:w="21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Constance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Freedman</w:t>
            </w:r>
          </w:p>
        </w:tc>
        <w:tc>
          <w:tcPr>
            <w:tcW w:w="252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8,535</w:t>
            </w:r>
          </w:p>
        </w:tc>
        <w:tc>
          <w:tcPr>
            <w:tcW w:w="21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69"/>
              <w:rPr>
                <w:sz w:val="16"/>
              </w:rPr>
            </w:pPr>
            <w:r>
              <w:rPr>
                <w:sz w:val="16"/>
              </w:rPr>
              <w:t>8,435</w:t>
            </w:r>
          </w:p>
        </w:tc>
        <w:tc>
          <w:tcPr>
            <w:tcW w:w="193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67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</w:tr>
      <w:tr>
        <w:trPr>
          <w:trHeight w:val="280" w:hRule="atLeast"/>
        </w:trPr>
        <w:tc>
          <w:tcPr>
            <w:tcW w:w="21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Thomas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Heneghan</w:t>
            </w:r>
          </w:p>
        </w:tc>
        <w:tc>
          <w:tcPr>
            <w:tcW w:w="252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1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69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93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67"/>
              <w:rPr>
                <w:sz w:val="16"/>
              </w:rPr>
            </w:pPr>
            <w:r>
              <w:rPr>
                <w:sz w:val="16"/>
              </w:rPr>
              <w:t>2,679</w:t>
            </w:r>
          </w:p>
        </w:tc>
      </w:tr>
      <w:tr>
        <w:trPr>
          <w:trHeight w:val="280" w:hRule="atLeast"/>
        </w:trPr>
        <w:tc>
          <w:tcPr>
            <w:tcW w:w="21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Scott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Peppet</w:t>
            </w:r>
          </w:p>
        </w:tc>
        <w:tc>
          <w:tcPr>
            <w:tcW w:w="252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1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69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93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67"/>
              <w:rPr>
                <w:sz w:val="16"/>
              </w:rPr>
            </w:pPr>
            <w:r>
              <w:rPr>
                <w:sz w:val="16"/>
              </w:rPr>
              <w:t>1,760</w:t>
            </w:r>
          </w:p>
        </w:tc>
      </w:tr>
      <w:tr>
        <w:trPr>
          <w:trHeight w:val="280" w:hRule="atLeast"/>
        </w:trPr>
        <w:tc>
          <w:tcPr>
            <w:tcW w:w="21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Sheli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Rosenberg</w:t>
            </w:r>
          </w:p>
        </w:tc>
        <w:tc>
          <w:tcPr>
            <w:tcW w:w="252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1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169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93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76"/>
              <w:ind w:right="67"/>
              <w:rPr>
                <w:sz w:val="16"/>
              </w:rPr>
            </w:pPr>
            <w:r>
              <w:rPr>
                <w:sz w:val="16"/>
              </w:rPr>
              <w:t>1,578</w:t>
            </w:r>
          </w:p>
        </w:tc>
      </w:tr>
      <w:tr>
        <w:trPr>
          <w:trHeight w:val="280" w:hRule="atLeast"/>
        </w:trPr>
        <w:tc>
          <w:tcPr>
            <w:tcW w:w="2119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Samuel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Zell</w:t>
            </w:r>
          </w:p>
        </w:tc>
        <w:tc>
          <w:tcPr>
            <w:tcW w:w="2524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2105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before="76"/>
              <w:ind w:right="169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938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before="76"/>
              <w:ind w:right="67"/>
              <w:rPr>
                <w:sz w:val="16"/>
              </w:rPr>
            </w:pPr>
            <w:r>
              <w:rPr>
                <w:sz w:val="16"/>
              </w:rPr>
              <w:t>94,865</w:t>
            </w:r>
          </w:p>
        </w:tc>
      </w:tr>
    </w:tbl>
    <w:p>
      <w:pPr>
        <w:pStyle w:val="ListParagraph"/>
        <w:numPr>
          <w:ilvl w:val="0"/>
          <w:numId w:val="14"/>
        </w:numPr>
        <w:tabs>
          <w:tab w:pos="610" w:val="left" w:leader="none"/>
        </w:tabs>
        <w:spacing w:line="249" w:lineRule="auto" w:before="156" w:after="0"/>
        <w:ind w:left="610" w:right="357" w:hanging="360"/>
        <w:jc w:val="left"/>
        <w:rPr>
          <w:sz w:val="16"/>
        </w:rPr>
      </w:pPr>
      <w:r>
        <w:rPr>
          <w:sz w:val="16"/>
        </w:rPr>
        <w:t>During the year ended December 31, 2021, Directors did not receive any perquisites or other compensation. The Company reimburses the</w:t>
      </w:r>
      <w:r>
        <w:rPr>
          <w:spacing w:val="-42"/>
          <w:sz w:val="16"/>
        </w:rPr>
        <w:t> </w:t>
      </w:r>
      <w:r>
        <w:rPr>
          <w:sz w:val="16"/>
        </w:rPr>
        <w:t>Directors</w:t>
      </w:r>
      <w:r>
        <w:rPr>
          <w:spacing w:val="-1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travel</w:t>
      </w:r>
      <w:r>
        <w:rPr>
          <w:spacing w:val="-1"/>
          <w:sz w:val="16"/>
        </w:rPr>
        <w:t> </w:t>
      </w:r>
      <w:r>
        <w:rPr>
          <w:sz w:val="16"/>
        </w:rPr>
        <w:t>expenses incurred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connection</w:t>
      </w:r>
      <w:r>
        <w:rPr>
          <w:spacing w:val="-1"/>
          <w:sz w:val="16"/>
        </w:rPr>
        <w:t> </w:t>
      </w:r>
      <w:r>
        <w:rPr>
          <w:sz w:val="16"/>
        </w:rPr>
        <w:t>with</w:t>
      </w:r>
      <w:r>
        <w:rPr>
          <w:spacing w:val="-2"/>
          <w:sz w:val="16"/>
        </w:rPr>
        <w:t> </w:t>
      </w:r>
      <w:r>
        <w:rPr>
          <w:sz w:val="16"/>
        </w:rPr>
        <w:t>their</w:t>
      </w:r>
      <w:r>
        <w:rPr>
          <w:spacing w:val="-1"/>
          <w:sz w:val="16"/>
        </w:rPr>
        <w:t> </w:t>
      </w:r>
      <w:r>
        <w:rPr>
          <w:sz w:val="16"/>
        </w:rPr>
        <w:t>activities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1"/>
          <w:sz w:val="16"/>
        </w:rPr>
        <w:t> </w:t>
      </w:r>
      <w:r>
        <w:rPr>
          <w:sz w:val="16"/>
        </w:rPr>
        <w:t>behalf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Company.</w:t>
      </w:r>
    </w:p>
    <w:p>
      <w:pPr>
        <w:pStyle w:val="BodyText"/>
        <w:spacing w:before="9"/>
        <w:rPr>
          <w:sz w:val="16"/>
        </w:rPr>
      </w:pPr>
    </w:p>
    <w:p>
      <w:pPr>
        <w:pStyle w:val="Heading5"/>
      </w:pPr>
      <w:r>
        <w:rPr>
          <w:color w:val="00539E"/>
        </w:rPr>
        <w:t>Vote</w:t>
      </w:r>
      <w:r>
        <w:rPr>
          <w:color w:val="00539E"/>
          <w:spacing w:val="-6"/>
        </w:rPr>
        <w:t> </w:t>
      </w:r>
      <w:r>
        <w:rPr>
          <w:color w:val="00539E"/>
        </w:rPr>
        <w:t>Required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49" w:lineRule="auto" w:before="1"/>
        <w:ind w:left="250" w:right="801"/>
      </w:pPr>
      <w:r>
        <w:rPr>
          <w:spacing w:val="-1"/>
        </w:rPr>
        <w:t>A plurality of the votes cast in person or </w:t>
      </w:r>
      <w:r>
        <w:rPr/>
        <w:t>by proxy at the Annual Meeting is required for the election of directors.</w:t>
      </w:r>
      <w:r>
        <w:rPr>
          <w:spacing w:val="-53"/>
        </w:rPr>
        <w:t> </w:t>
      </w:r>
      <w:r>
        <w:rPr/>
        <w:t>Although we know of no reason why any nominee would not be able to serve, if any nominee should become</w:t>
      </w:r>
      <w:r>
        <w:rPr>
          <w:spacing w:val="1"/>
        </w:rPr>
        <w:t> </w:t>
      </w:r>
      <w:r>
        <w:rPr/>
        <w:t>unavailable for election, the persons named as proxies will vote your shares of Common Stock to approve the</w:t>
      </w:r>
      <w:r>
        <w:rPr>
          <w:spacing w:val="1"/>
        </w:rPr>
        <w:t> </w:t>
      </w:r>
      <w:r>
        <w:rPr/>
        <w:t>election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any</w:t>
      </w:r>
      <w:r>
        <w:rPr>
          <w:spacing w:val="-2"/>
        </w:rPr>
        <w:t> </w:t>
      </w:r>
      <w:r>
        <w:rPr/>
        <w:t>substitute</w:t>
      </w:r>
      <w:r>
        <w:rPr>
          <w:spacing w:val="-1"/>
        </w:rPr>
        <w:t> </w:t>
      </w:r>
      <w:r>
        <w:rPr/>
        <w:t>nominee</w:t>
      </w:r>
      <w:r>
        <w:rPr>
          <w:spacing w:val="-1"/>
        </w:rPr>
        <w:t> </w:t>
      </w:r>
      <w:r>
        <w:rPr/>
        <w:t>proposed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Board.</w:t>
      </w:r>
    </w:p>
    <w:p>
      <w:pPr>
        <w:pStyle w:val="BodyText"/>
        <w:spacing w:before="7"/>
        <w:rPr>
          <w:sz w:val="17"/>
        </w:rPr>
      </w:pPr>
    </w:p>
    <w:p>
      <w:pPr>
        <w:spacing w:before="0"/>
        <w:ind w:left="250" w:right="0" w:firstLine="0"/>
        <w:jc w:val="left"/>
        <w:rPr>
          <w:b/>
          <w:sz w:val="20"/>
        </w:rPr>
      </w:pPr>
      <w:r>
        <w:rPr>
          <w:b/>
          <w:color w:val="00539E"/>
          <w:sz w:val="20"/>
        </w:rPr>
        <w:t>Board</w:t>
      </w:r>
      <w:r>
        <w:rPr>
          <w:b/>
          <w:color w:val="00539E"/>
          <w:spacing w:val="-9"/>
          <w:sz w:val="20"/>
        </w:rPr>
        <w:t> </w:t>
      </w:r>
      <w:r>
        <w:rPr>
          <w:b/>
          <w:color w:val="00539E"/>
          <w:sz w:val="20"/>
        </w:rPr>
        <w:t>Recommendation</w:t>
      </w:r>
    </w:p>
    <w:p>
      <w:pPr>
        <w:pStyle w:val="BodyText"/>
        <w:spacing w:before="3"/>
        <w:rPr>
          <w:b/>
          <w:sz w:val="18"/>
        </w:rPr>
      </w:pPr>
    </w:p>
    <w:p>
      <w:pPr>
        <w:spacing w:line="249" w:lineRule="auto" w:before="0"/>
        <w:ind w:left="250" w:right="282" w:firstLine="0"/>
        <w:jc w:val="left"/>
        <w:rPr>
          <w:b/>
          <w:sz w:val="20"/>
        </w:rPr>
      </w:pPr>
      <w:r>
        <w:rPr>
          <w:b/>
          <w:sz w:val="20"/>
        </w:rPr>
        <w:t>The Board unanimously recommends that you vote "FOR" each of the ten nominees for director to serve</w:t>
      </w:r>
      <w:r>
        <w:rPr>
          <w:b/>
          <w:spacing w:val="-53"/>
          <w:sz w:val="20"/>
        </w:rPr>
        <w:t> </w:t>
      </w:r>
      <w:r>
        <w:rPr>
          <w:b/>
          <w:sz w:val="20"/>
        </w:rPr>
        <w:t>until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next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annual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meeting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stockholders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until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his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her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successor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is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duly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elected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qualifies.</w:t>
      </w:r>
    </w:p>
    <w:p>
      <w:pPr>
        <w:spacing w:after="0" w:line="249" w:lineRule="auto"/>
        <w:jc w:val="left"/>
        <w:rPr>
          <w:sz w:val="20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Heading4"/>
        <w:spacing w:before="73"/>
        <w:ind w:left="4530"/>
      </w:pPr>
      <w:bookmarkStart w:name="Proposal No. 2 - Ratification of Selecti" w:id="50"/>
      <w:bookmarkEnd w:id="50"/>
      <w:r>
        <w:rPr>
          <w:b w:val="0"/>
        </w:rPr>
      </w:r>
      <w:bookmarkStart w:name="_bookmark21" w:id="51"/>
      <w:bookmarkEnd w:id="51"/>
      <w:r>
        <w:rPr>
          <w:b w:val="0"/>
        </w:rPr>
      </w:r>
      <w:r>
        <w:rPr>
          <w:color w:val="00539E"/>
        </w:rPr>
        <w:t>PROPOSAL</w:t>
      </w:r>
      <w:r>
        <w:rPr>
          <w:color w:val="00539E"/>
          <w:spacing w:val="-6"/>
        </w:rPr>
        <w:t> </w:t>
      </w:r>
      <w:r>
        <w:rPr>
          <w:color w:val="00539E"/>
        </w:rPr>
        <w:t>NO.</w:t>
      </w:r>
      <w:r>
        <w:rPr>
          <w:color w:val="00539E"/>
          <w:spacing w:val="-5"/>
        </w:rPr>
        <w:t> </w:t>
      </w:r>
      <w:r>
        <w:rPr>
          <w:color w:val="00539E"/>
        </w:rPr>
        <w:t>2</w:t>
      </w:r>
    </w:p>
    <w:p>
      <w:pPr>
        <w:spacing w:line="249" w:lineRule="auto" w:before="110"/>
        <w:ind w:left="2610" w:right="2636" w:firstLine="905"/>
        <w:jc w:val="left"/>
        <w:rPr>
          <w:b/>
          <w:sz w:val="20"/>
        </w:rPr>
      </w:pPr>
      <w:r>
        <w:rPr>
          <w:b/>
          <w:color w:val="00539E"/>
          <w:sz w:val="20"/>
        </w:rPr>
        <w:t>RATIFICATION OF THE SELECTION OF</w:t>
      </w:r>
      <w:r>
        <w:rPr>
          <w:b/>
          <w:color w:val="00539E"/>
          <w:spacing w:val="1"/>
          <w:sz w:val="20"/>
        </w:rPr>
        <w:t> </w:t>
      </w:r>
      <w:r>
        <w:rPr>
          <w:b/>
          <w:color w:val="00539E"/>
          <w:sz w:val="20"/>
        </w:rPr>
        <w:t>INDEPENDENT</w:t>
      </w:r>
      <w:r>
        <w:rPr>
          <w:b/>
          <w:color w:val="00539E"/>
          <w:spacing w:val="-9"/>
          <w:sz w:val="20"/>
        </w:rPr>
        <w:t> </w:t>
      </w:r>
      <w:r>
        <w:rPr>
          <w:b/>
          <w:color w:val="00539E"/>
          <w:sz w:val="20"/>
        </w:rPr>
        <w:t>REGISTERED</w:t>
      </w:r>
      <w:r>
        <w:rPr>
          <w:b/>
          <w:color w:val="00539E"/>
          <w:spacing w:val="-9"/>
          <w:sz w:val="20"/>
        </w:rPr>
        <w:t> </w:t>
      </w:r>
      <w:r>
        <w:rPr>
          <w:b/>
          <w:color w:val="00539E"/>
          <w:sz w:val="20"/>
        </w:rPr>
        <w:t>PUBLIC</w:t>
      </w:r>
      <w:r>
        <w:rPr>
          <w:b/>
          <w:color w:val="00539E"/>
          <w:spacing w:val="-9"/>
          <w:sz w:val="20"/>
        </w:rPr>
        <w:t> </w:t>
      </w:r>
      <w:r>
        <w:rPr>
          <w:b/>
          <w:color w:val="00539E"/>
          <w:sz w:val="20"/>
        </w:rPr>
        <w:t>ACCOUNTING</w:t>
      </w:r>
      <w:r>
        <w:rPr>
          <w:b/>
          <w:color w:val="00539E"/>
          <w:spacing w:val="-8"/>
          <w:sz w:val="20"/>
        </w:rPr>
        <w:t> </w:t>
      </w:r>
      <w:r>
        <w:rPr>
          <w:b/>
          <w:color w:val="00539E"/>
          <w:sz w:val="20"/>
        </w:rPr>
        <w:t>FIRM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The Board recommends that the stockholders ratify the selection of Ernst &amp; Young, LLP ("Ernst &amp; Young") as the</w:t>
      </w:r>
      <w:r>
        <w:rPr>
          <w:spacing w:val="1"/>
        </w:rPr>
        <w:t> </w:t>
      </w:r>
      <w:r>
        <w:rPr>
          <w:spacing w:val="-1"/>
        </w:rPr>
        <w:t>Company's Independent Accountants for the fiscal </w:t>
      </w:r>
      <w:r>
        <w:rPr/>
        <w:t>year ending December 31, 2022.</w:t>
      </w:r>
      <w:r>
        <w:rPr>
          <w:spacing w:val="1"/>
        </w:rPr>
        <w:t> </w:t>
      </w:r>
      <w:r>
        <w:rPr/>
        <w:t>As a matter of good corporate</w:t>
      </w:r>
      <w:r>
        <w:rPr>
          <w:spacing w:val="-53"/>
        </w:rPr>
        <w:t> </w:t>
      </w:r>
      <w:r>
        <w:rPr/>
        <w:t>governance, the selection of Ernst &amp; Young is being submitted to stockholders for ratification. In the event of a</w:t>
      </w:r>
      <w:r>
        <w:rPr>
          <w:spacing w:val="1"/>
        </w:rPr>
        <w:t> </w:t>
      </w:r>
      <w:r>
        <w:rPr>
          <w:spacing w:val="-1"/>
        </w:rPr>
        <w:t>negative vote on such ratification, the Audit Committee will reconsider </w:t>
      </w:r>
      <w:r>
        <w:rPr/>
        <w:t>its selection. Even if Ernst &amp; Young is ratified</w:t>
      </w:r>
      <w:r>
        <w:rPr>
          <w:spacing w:val="1"/>
        </w:rPr>
        <w:t> </w:t>
      </w:r>
      <w:r>
        <w:rPr>
          <w:spacing w:val="-1"/>
        </w:rPr>
        <w:t>as Independent Accountants by the stockholders, the Audit </w:t>
      </w:r>
      <w:r>
        <w:rPr/>
        <w:t>Committee, at its discretion, may direct the appointment</w:t>
      </w:r>
      <w:r>
        <w:rPr>
          <w:spacing w:val="-53"/>
        </w:rPr>
        <w:t> </w:t>
      </w:r>
      <w:r>
        <w:rPr>
          <w:spacing w:val="-1"/>
        </w:rPr>
        <w:t>of different Independent Accountants at any time during </w:t>
      </w:r>
      <w:r>
        <w:rPr/>
        <w:t>the year if it determines that such a change would be in the</w:t>
      </w:r>
      <w:r>
        <w:rPr>
          <w:spacing w:val="-53"/>
        </w:rPr>
        <w:t> </w:t>
      </w:r>
      <w:r>
        <w:rPr/>
        <w:t>best</w:t>
      </w:r>
      <w:r>
        <w:rPr>
          <w:spacing w:val="-2"/>
        </w:rPr>
        <w:t> </w:t>
      </w:r>
      <w:r>
        <w:rPr/>
        <w:t>interests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Company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stockholders.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9" w:lineRule="auto"/>
        <w:ind w:left="250" w:right="422"/>
        <w:jc w:val="both"/>
      </w:pPr>
      <w:r>
        <w:rPr/>
        <w:t>Ernst</w:t>
      </w:r>
      <w:r>
        <w:rPr>
          <w:spacing w:val="-5"/>
        </w:rPr>
        <w:t> </w:t>
      </w:r>
      <w:r>
        <w:rPr/>
        <w:t>&amp;</w:t>
      </w:r>
      <w:r>
        <w:rPr>
          <w:spacing w:val="-8"/>
        </w:rPr>
        <w:t> </w:t>
      </w:r>
      <w:r>
        <w:rPr/>
        <w:t>Young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advised</w:t>
      </w:r>
      <w:r>
        <w:rPr>
          <w:spacing w:val="-5"/>
        </w:rPr>
        <w:t> </w:t>
      </w:r>
      <w:r>
        <w:rPr/>
        <w:t>us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neither</w:t>
      </w:r>
      <w:r>
        <w:rPr>
          <w:spacing w:val="-5"/>
        </w:rPr>
        <w:t> </w:t>
      </w:r>
      <w:r>
        <w:rPr/>
        <w:t>it</w:t>
      </w:r>
      <w:r>
        <w:rPr>
          <w:spacing w:val="-5"/>
        </w:rPr>
        <w:t> </w:t>
      </w:r>
      <w:r>
        <w:rPr/>
        <w:t>nor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member</w:t>
      </w:r>
      <w:r>
        <w:rPr>
          <w:spacing w:val="-5"/>
        </w:rPr>
        <w:t> </w:t>
      </w:r>
      <w:r>
        <w:rPr/>
        <w:t>thereof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any</w:t>
      </w:r>
      <w:r>
        <w:rPr>
          <w:spacing w:val="-4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interest,</w:t>
      </w:r>
      <w:r>
        <w:rPr>
          <w:spacing w:val="-5"/>
        </w:rPr>
        <w:t> </w:t>
      </w:r>
      <w:r>
        <w:rPr/>
        <w:t>direct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indirect,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the Company or any of its subsidiaries in any capacity. There have been no disagreements between the Company</w:t>
      </w:r>
      <w:r>
        <w:rPr>
          <w:spacing w:val="-53"/>
        </w:rPr>
        <w:t> </w:t>
      </w:r>
      <w:r>
        <w:rPr/>
        <w:t>and</w:t>
      </w:r>
      <w:r>
        <w:rPr>
          <w:spacing w:val="-4"/>
        </w:rPr>
        <w:t> </w:t>
      </w:r>
      <w:r>
        <w:rPr/>
        <w:t>Ernst</w:t>
      </w:r>
      <w:r>
        <w:rPr>
          <w:spacing w:val="-3"/>
        </w:rPr>
        <w:t> </w:t>
      </w:r>
      <w:r>
        <w:rPr/>
        <w:t>&amp;</w:t>
      </w:r>
      <w:r>
        <w:rPr>
          <w:spacing w:val="-6"/>
        </w:rPr>
        <w:t> </w:t>
      </w:r>
      <w:r>
        <w:rPr/>
        <w:t>Young</w:t>
      </w:r>
      <w:r>
        <w:rPr>
          <w:spacing w:val="-3"/>
        </w:rPr>
        <w:t> </w:t>
      </w:r>
      <w:r>
        <w:rPr/>
        <w:t>relating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accounting</w:t>
      </w:r>
      <w:r>
        <w:rPr>
          <w:spacing w:val="-3"/>
        </w:rPr>
        <w:t> </w:t>
      </w:r>
      <w:r>
        <w:rPr/>
        <w:t>procedures,</w:t>
      </w:r>
      <w:r>
        <w:rPr>
          <w:spacing w:val="-3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statement</w:t>
      </w:r>
      <w:r>
        <w:rPr>
          <w:spacing w:val="-4"/>
        </w:rPr>
        <w:t> </w:t>
      </w:r>
      <w:r>
        <w:rPr/>
        <w:t>disclosures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related</w:t>
      </w:r>
      <w:r>
        <w:rPr>
          <w:spacing w:val="-3"/>
        </w:rPr>
        <w:t> </w:t>
      </w:r>
      <w:r>
        <w:rPr/>
        <w:t>items.</w:t>
      </w:r>
    </w:p>
    <w:p>
      <w:pPr>
        <w:pStyle w:val="BodyText"/>
        <w:spacing w:line="249" w:lineRule="auto" w:before="3"/>
        <w:ind w:left="250" w:right="371"/>
        <w:jc w:val="both"/>
      </w:pPr>
      <w:r>
        <w:rPr>
          <w:spacing w:val="-1"/>
        </w:rPr>
        <w:t>Representatives of Ernst &amp; Young are </w:t>
      </w:r>
      <w:r>
        <w:rPr/>
        <w:t>expected to be available at the Annual Meeting. These representatives will</w:t>
      </w:r>
      <w:r>
        <w:rPr>
          <w:spacing w:val="1"/>
        </w:rPr>
        <w:t> </w:t>
      </w:r>
      <w:r>
        <w:rPr/>
        <w:t>have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opportunity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statement</w:t>
      </w:r>
      <w:r>
        <w:rPr>
          <w:spacing w:val="-4"/>
        </w:rPr>
        <w:t> </w:t>
      </w:r>
      <w:r>
        <w:rPr/>
        <w:t>if</w:t>
      </w:r>
      <w:r>
        <w:rPr>
          <w:spacing w:val="-4"/>
        </w:rPr>
        <w:t> </w:t>
      </w:r>
      <w:r>
        <w:rPr/>
        <w:t>they</w:t>
      </w:r>
      <w:r>
        <w:rPr>
          <w:spacing w:val="-4"/>
        </w:rPr>
        <w:t> </w:t>
      </w:r>
      <w:r>
        <w:rPr/>
        <w:t>so</w:t>
      </w:r>
      <w:r>
        <w:rPr>
          <w:spacing w:val="-4"/>
        </w:rPr>
        <w:t> </w:t>
      </w:r>
      <w:r>
        <w:rPr/>
        <w:t>desire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respond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appropriate</w:t>
      </w:r>
      <w:r>
        <w:rPr>
          <w:spacing w:val="-4"/>
        </w:rPr>
        <w:t> </w:t>
      </w:r>
      <w:r>
        <w:rPr/>
        <w:t>questions.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9" w:lineRule="auto"/>
        <w:ind w:left="250" w:right="427"/>
        <w:jc w:val="both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provides</w:t>
      </w:r>
      <w:r>
        <w:rPr>
          <w:spacing w:val="-5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relating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fees</w:t>
      </w:r>
      <w:r>
        <w:rPr>
          <w:spacing w:val="-4"/>
        </w:rPr>
        <w:t> </w:t>
      </w:r>
      <w:r>
        <w:rPr/>
        <w:t>billed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expected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billed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Ernst</w:t>
      </w:r>
      <w:r>
        <w:rPr>
          <w:spacing w:val="1"/>
        </w:rPr>
        <w:t> </w:t>
      </w:r>
      <w:r>
        <w:rPr/>
        <w:t>&amp;</w:t>
      </w:r>
      <w:r>
        <w:rPr>
          <w:spacing w:val="-5"/>
        </w:rPr>
        <w:t> </w:t>
      </w:r>
      <w:r>
        <w:rPr/>
        <w:t>Young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years</w:t>
      </w:r>
      <w:r>
        <w:rPr>
          <w:spacing w:val="-2"/>
        </w:rPr>
        <w:t> </w:t>
      </w:r>
      <w:r>
        <w:rPr/>
        <w:t>ended</w:t>
      </w:r>
      <w:r>
        <w:rPr>
          <w:spacing w:val="-1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31,</w:t>
      </w:r>
      <w:r>
        <w:rPr>
          <w:spacing w:val="-1"/>
        </w:rPr>
        <w:t> </w:t>
      </w:r>
      <w:r>
        <w:rPr/>
        <w:t>2021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2020:</w:t>
      </w:r>
    </w:p>
    <w:p>
      <w:pPr>
        <w:pStyle w:val="BodyText"/>
        <w:spacing w:before="9"/>
        <w:rPr>
          <w:sz w:val="19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24"/>
        <w:gridCol w:w="4166"/>
        <w:gridCol w:w="2051"/>
      </w:tblGrid>
      <w:tr>
        <w:trPr>
          <w:trHeight w:val="220" w:hRule="atLeast"/>
        </w:trPr>
        <w:tc>
          <w:tcPr>
            <w:tcW w:w="3924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4166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01" w:lineRule="exact" w:before="0"/>
              <w:ind w:left="2146"/>
              <w:jc w:val="center"/>
              <w:rPr>
                <w:b/>
                <w:sz w:val="18"/>
              </w:rPr>
            </w:pPr>
            <w:r>
              <w:rPr>
                <w:b/>
                <w:color w:val="00539E"/>
                <w:sz w:val="18"/>
              </w:rPr>
              <w:t>2021</w:t>
            </w:r>
          </w:p>
        </w:tc>
        <w:tc>
          <w:tcPr>
            <w:tcW w:w="2051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01" w:lineRule="exact" w:before="0"/>
              <w:ind w:left="19" w:right="10"/>
              <w:jc w:val="center"/>
              <w:rPr>
                <w:b/>
                <w:sz w:val="18"/>
              </w:rPr>
            </w:pPr>
            <w:r>
              <w:rPr>
                <w:b/>
                <w:color w:val="00539E"/>
                <w:sz w:val="18"/>
              </w:rPr>
              <w:t>2020</w:t>
            </w:r>
          </w:p>
        </w:tc>
      </w:tr>
      <w:tr>
        <w:trPr>
          <w:trHeight w:val="295" w:hRule="atLeast"/>
        </w:trPr>
        <w:tc>
          <w:tcPr>
            <w:tcW w:w="3924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6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Audit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Fees</w:t>
            </w:r>
            <w:r>
              <w:rPr>
                <w:sz w:val="18"/>
                <w:vertAlign w:val="superscript"/>
              </w:rPr>
              <w:t>(1)</w:t>
            </w:r>
          </w:p>
        </w:tc>
        <w:tc>
          <w:tcPr>
            <w:tcW w:w="4166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tabs>
                <w:tab w:pos="3236" w:val="left" w:leader="none"/>
              </w:tabs>
              <w:spacing w:line="207" w:lineRule="exact" w:before="68"/>
              <w:ind w:left="2124"/>
              <w:jc w:val="center"/>
              <w:rPr>
                <w:sz w:val="18"/>
              </w:rPr>
            </w:pPr>
            <w:r>
              <w:rPr>
                <w:sz w:val="18"/>
              </w:rPr>
              <w:t>$</w:t>
              <w:tab/>
              <w:t>1,371,650</w:t>
            </w:r>
          </w:p>
        </w:tc>
        <w:tc>
          <w:tcPr>
            <w:tcW w:w="2051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tabs>
                <w:tab w:pos="1112" w:val="left" w:leader="none"/>
              </w:tabs>
              <w:spacing w:line="207" w:lineRule="exact" w:before="6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  <w:tab/>
              <w:t>1,312,850</w:t>
            </w:r>
          </w:p>
        </w:tc>
      </w:tr>
      <w:tr>
        <w:trPr>
          <w:trHeight w:val="295" w:hRule="atLeast"/>
        </w:trPr>
        <w:tc>
          <w:tcPr>
            <w:tcW w:w="392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6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Audit-Related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Fees</w:t>
            </w:r>
            <w:r>
              <w:rPr>
                <w:sz w:val="18"/>
                <w:vertAlign w:val="superscript"/>
              </w:rPr>
              <w:t>(2)</w:t>
            </w:r>
          </w:p>
        </w:tc>
        <w:tc>
          <w:tcPr>
            <w:tcW w:w="416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3486" w:val="left" w:leader="none"/>
              </w:tabs>
              <w:spacing w:line="207" w:lineRule="exact" w:before="68"/>
              <w:ind w:left="2124"/>
              <w:jc w:val="center"/>
              <w:rPr>
                <w:sz w:val="18"/>
              </w:rPr>
            </w:pPr>
            <w:r>
              <w:rPr>
                <w:sz w:val="18"/>
              </w:rPr>
              <w:t>$</w:t>
              <w:tab/>
              <w:t>52,700</w:t>
            </w:r>
          </w:p>
        </w:tc>
        <w:tc>
          <w:tcPr>
            <w:tcW w:w="205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1362" w:val="left" w:leader="none"/>
              </w:tabs>
              <w:spacing w:line="207" w:lineRule="exact" w:before="6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  <w:tab/>
              <w:t>51,100</w:t>
            </w:r>
          </w:p>
        </w:tc>
      </w:tr>
      <w:tr>
        <w:trPr>
          <w:trHeight w:val="295" w:hRule="atLeast"/>
        </w:trPr>
        <w:tc>
          <w:tcPr>
            <w:tcW w:w="392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6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Tax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Fees</w:t>
            </w:r>
            <w:r>
              <w:rPr>
                <w:sz w:val="18"/>
                <w:vertAlign w:val="superscript"/>
              </w:rPr>
              <w:t>(3)</w:t>
            </w:r>
          </w:p>
        </w:tc>
        <w:tc>
          <w:tcPr>
            <w:tcW w:w="416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3486" w:val="left" w:leader="none"/>
              </w:tabs>
              <w:spacing w:line="207" w:lineRule="exact" w:before="68"/>
              <w:ind w:left="2124"/>
              <w:jc w:val="center"/>
              <w:rPr>
                <w:sz w:val="18"/>
              </w:rPr>
            </w:pPr>
            <w:r>
              <w:rPr>
                <w:sz w:val="18"/>
              </w:rPr>
              <w:t>$</w:t>
              <w:tab/>
              <w:t>78,500</w:t>
            </w:r>
          </w:p>
        </w:tc>
        <w:tc>
          <w:tcPr>
            <w:tcW w:w="205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tabs>
                <w:tab w:pos="1362" w:val="left" w:leader="none"/>
              </w:tabs>
              <w:spacing w:line="207" w:lineRule="exact" w:before="68"/>
              <w:ind w:right="10"/>
              <w:jc w:val="center"/>
              <w:rPr>
                <w:sz w:val="18"/>
              </w:rPr>
            </w:pPr>
            <w:r>
              <w:rPr>
                <w:sz w:val="18"/>
              </w:rPr>
              <w:t>$</w:t>
              <w:tab/>
              <w:t>52,000</w:t>
            </w:r>
          </w:p>
        </w:tc>
      </w:tr>
      <w:tr>
        <w:trPr>
          <w:trHeight w:val="295" w:hRule="atLeast"/>
        </w:trPr>
        <w:tc>
          <w:tcPr>
            <w:tcW w:w="3924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6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Other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Fees</w:t>
            </w:r>
          </w:p>
        </w:tc>
        <w:tc>
          <w:tcPr>
            <w:tcW w:w="4166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tabs>
                <w:tab w:pos="3856" w:val="left" w:leader="none"/>
              </w:tabs>
              <w:spacing w:line="207" w:lineRule="exact" w:before="68"/>
              <w:ind w:left="2123"/>
              <w:jc w:val="center"/>
              <w:rPr>
                <w:sz w:val="18"/>
              </w:rPr>
            </w:pPr>
            <w:r>
              <w:rPr>
                <w:sz w:val="18"/>
              </w:rPr>
              <w:t>$</w:t>
              <w:tab/>
              <w:t>—</w:t>
            </w:r>
          </w:p>
        </w:tc>
        <w:tc>
          <w:tcPr>
            <w:tcW w:w="2051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tabs>
                <w:tab w:pos="1732" w:val="left" w:leader="none"/>
              </w:tabs>
              <w:spacing w:line="207" w:lineRule="exact" w:before="68"/>
              <w:ind w:right="11"/>
              <w:jc w:val="center"/>
              <w:rPr>
                <w:sz w:val="18"/>
              </w:rPr>
            </w:pPr>
            <w:r>
              <w:rPr>
                <w:sz w:val="18"/>
              </w:rPr>
              <w:t>$</w:t>
              <w:tab/>
              <w:t>—</w:t>
            </w:r>
          </w:p>
        </w:tc>
      </w:tr>
    </w:tbl>
    <w:p>
      <w:pPr>
        <w:pStyle w:val="ListParagraph"/>
        <w:numPr>
          <w:ilvl w:val="0"/>
          <w:numId w:val="15"/>
        </w:numPr>
        <w:tabs>
          <w:tab w:pos="610" w:val="left" w:leader="none"/>
        </w:tabs>
        <w:spacing w:line="249" w:lineRule="auto" w:before="57" w:after="0"/>
        <w:ind w:left="610" w:right="419" w:hanging="360"/>
        <w:jc w:val="left"/>
        <w:rPr>
          <w:sz w:val="16"/>
        </w:rPr>
      </w:pPr>
      <w:r>
        <w:rPr>
          <w:sz w:val="16"/>
        </w:rPr>
        <w:t>Audit</w:t>
      </w:r>
      <w:r>
        <w:rPr>
          <w:spacing w:val="-3"/>
          <w:sz w:val="16"/>
        </w:rPr>
        <w:t> </w:t>
      </w:r>
      <w:r>
        <w:rPr>
          <w:sz w:val="16"/>
        </w:rPr>
        <w:t>fees</w:t>
      </w:r>
      <w:r>
        <w:rPr>
          <w:spacing w:val="-2"/>
          <w:sz w:val="16"/>
        </w:rPr>
        <w:t> </w:t>
      </w:r>
      <w:r>
        <w:rPr>
          <w:sz w:val="16"/>
        </w:rPr>
        <w:t>consist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fees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audit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Company's</w:t>
      </w:r>
      <w:r>
        <w:rPr>
          <w:spacing w:val="-3"/>
          <w:sz w:val="16"/>
        </w:rPr>
        <w:t> </w:t>
      </w:r>
      <w:r>
        <w:rPr>
          <w:sz w:val="16"/>
        </w:rPr>
        <w:t>financial</w:t>
      </w:r>
      <w:r>
        <w:rPr>
          <w:spacing w:val="-2"/>
          <w:sz w:val="16"/>
        </w:rPr>
        <w:t> </w:t>
      </w:r>
      <w:r>
        <w:rPr>
          <w:sz w:val="16"/>
        </w:rPr>
        <w:t>statements,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audit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internal</w:t>
      </w:r>
      <w:r>
        <w:rPr>
          <w:spacing w:val="-2"/>
          <w:sz w:val="16"/>
        </w:rPr>
        <w:t> </w:t>
      </w:r>
      <w:r>
        <w:rPr>
          <w:sz w:val="16"/>
        </w:rPr>
        <w:t>controls</w:t>
      </w:r>
      <w:r>
        <w:rPr>
          <w:spacing w:val="-3"/>
          <w:sz w:val="16"/>
        </w:rPr>
        <w:t> </w:t>
      </w:r>
      <w:r>
        <w:rPr>
          <w:sz w:val="16"/>
        </w:rPr>
        <w:t>relating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Section</w:t>
      </w:r>
      <w:r>
        <w:rPr>
          <w:spacing w:val="-3"/>
          <w:sz w:val="16"/>
        </w:rPr>
        <w:t> </w:t>
      </w:r>
      <w:r>
        <w:rPr>
          <w:sz w:val="16"/>
        </w:rPr>
        <w:t>404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Sarbanes-Oxley</w:t>
      </w:r>
      <w:r>
        <w:rPr>
          <w:spacing w:val="-10"/>
          <w:sz w:val="16"/>
        </w:rPr>
        <w:t> </w:t>
      </w:r>
      <w:r>
        <w:rPr>
          <w:sz w:val="16"/>
        </w:rPr>
        <w:t>Act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reviews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financial</w:t>
      </w:r>
      <w:r>
        <w:rPr>
          <w:spacing w:val="-1"/>
          <w:sz w:val="16"/>
        </w:rPr>
        <w:t> </w:t>
      </w:r>
      <w:r>
        <w:rPr>
          <w:sz w:val="16"/>
        </w:rPr>
        <w:t>statements</w:t>
      </w:r>
      <w:r>
        <w:rPr>
          <w:spacing w:val="-1"/>
          <w:sz w:val="16"/>
        </w:rPr>
        <w:t> </w:t>
      </w:r>
      <w:r>
        <w:rPr>
          <w:sz w:val="16"/>
        </w:rPr>
        <w:t>included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Company's</w:t>
      </w:r>
      <w:r>
        <w:rPr>
          <w:spacing w:val="-1"/>
          <w:sz w:val="16"/>
        </w:rPr>
        <w:t> </w:t>
      </w:r>
      <w:r>
        <w:rPr>
          <w:sz w:val="16"/>
        </w:rPr>
        <w:t>Quarterly</w:t>
      </w:r>
      <w:r>
        <w:rPr>
          <w:spacing w:val="-1"/>
          <w:sz w:val="16"/>
        </w:rPr>
        <w:t> </w:t>
      </w:r>
      <w:r>
        <w:rPr>
          <w:sz w:val="16"/>
        </w:rPr>
        <w:t>Reports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2"/>
          <w:sz w:val="16"/>
        </w:rPr>
        <w:t> </w:t>
      </w:r>
      <w:r>
        <w:rPr>
          <w:sz w:val="16"/>
        </w:rPr>
        <w:t>Form</w:t>
      </w:r>
      <w:r>
        <w:rPr>
          <w:spacing w:val="-1"/>
          <w:sz w:val="16"/>
        </w:rPr>
        <w:t> </w:t>
      </w:r>
      <w:r>
        <w:rPr>
          <w:sz w:val="16"/>
        </w:rPr>
        <w:t>10-Q.</w:t>
      </w:r>
    </w:p>
    <w:p>
      <w:pPr>
        <w:pStyle w:val="ListParagraph"/>
        <w:numPr>
          <w:ilvl w:val="0"/>
          <w:numId w:val="15"/>
        </w:numPr>
        <w:tabs>
          <w:tab w:pos="610" w:val="left" w:leader="none"/>
        </w:tabs>
        <w:spacing w:line="249" w:lineRule="auto" w:before="1" w:after="0"/>
        <w:ind w:left="610" w:right="858" w:hanging="360"/>
        <w:jc w:val="left"/>
        <w:rPr>
          <w:sz w:val="16"/>
        </w:rPr>
      </w:pPr>
      <w:r>
        <w:rPr>
          <w:sz w:val="16"/>
        </w:rPr>
        <w:t>Audit-Related</w:t>
      </w:r>
      <w:r>
        <w:rPr>
          <w:spacing w:val="-4"/>
          <w:sz w:val="16"/>
        </w:rPr>
        <w:t> </w:t>
      </w:r>
      <w:r>
        <w:rPr>
          <w:sz w:val="16"/>
        </w:rPr>
        <w:t>Fees</w:t>
      </w:r>
      <w:r>
        <w:rPr>
          <w:spacing w:val="-3"/>
          <w:sz w:val="16"/>
        </w:rPr>
        <w:t> </w:t>
      </w:r>
      <w:r>
        <w:rPr>
          <w:sz w:val="16"/>
        </w:rPr>
        <w:t>consist</w:t>
      </w:r>
      <w:r>
        <w:rPr>
          <w:spacing w:val="-3"/>
          <w:sz w:val="16"/>
        </w:rPr>
        <w:t> </w:t>
      </w:r>
      <w:r>
        <w:rPr>
          <w:sz w:val="16"/>
        </w:rPr>
        <w:t>primarily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fees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services</w:t>
      </w:r>
      <w:r>
        <w:rPr>
          <w:spacing w:val="-2"/>
          <w:sz w:val="16"/>
        </w:rPr>
        <w:t> </w:t>
      </w:r>
      <w:r>
        <w:rPr>
          <w:sz w:val="16"/>
        </w:rPr>
        <w:t>provided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assist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Company</w:t>
      </w:r>
      <w:r>
        <w:rPr>
          <w:spacing w:val="-3"/>
          <w:sz w:val="16"/>
        </w:rPr>
        <w:t> </w:t>
      </w:r>
      <w:r>
        <w:rPr>
          <w:sz w:val="16"/>
        </w:rPr>
        <w:t>with</w:t>
      </w:r>
      <w:r>
        <w:rPr>
          <w:spacing w:val="-3"/>
          <w:sz w:val="16"/>
        </w:rPr>
        <w:t> </w:t>
      </w:r>
      <w:r>
        <w:rPr>
          <w:sz w:val="16"/>
        </w:rPr>
        <w:t>attestation</w:t>
      </w:r>
      <w:r>
        <w:rPr>
          <w:spacing w:val="-4"/>
          <w:sz w:val="16"/>
        </w:rPr>
        <w:t> </w:t>
      </w:r>
      <w:r>
        <w:rPr>
          <w:sz w:val="16"/>
        </w:rPr>
        <w:t>services</w:t>
      </w:r>
      <w:r>
        <w:rPr>
          <w:spacing w:val="-3"/>
          <w:sz w:val="16"/>
        </w:rPr>
        <w:t> </w:t>
      </w:r>
      <w:r>
        <w:rPr>
          <w:sz w:val="16"/>
        </w:rPr>
        <w:t>related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audits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subsidiaries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benefit plans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other accounting</w:t>
      </w:r>
      <w:r>
        <w:rPr>
          <w:spacing w:val="-2"/>
          <w:sz w:val="16"/>
        </w:rPr>
        <w:t> </w:t>
      </w:r>
      <w:r>
        <w:rPr>
          <w:sz w:val="16"/>
        </w:rPr>
        <w:t>consultations.</w:t>
      </w:r>
    </w:p>
    <w:p>
      <w:pPr>
        <w:pStyle w:val="ListParagraph"/>
        <w:numPr>
          <w:ilvl w:val="0"/>
          <w:numId w:val="15"/>
        </w:numPr>
        <w:tabs>
          <w:tab w:pos="610" w:val="left" w:leader="none"/>
        </w:tabs>
        <w:spacing w:line="240" w:lineRule="auto" w:before="1" w:after="0"/>
        <w:ind w:left="610" w:right="0" w:hanging="360"/>
        <w:jc w:val="left"/>
        <w:rPr>
          <w:sz w:val="16"/>
        </w:rPr>
      </w:pPr>
      <w:r>
        <w:rPr>
          <w:sz w:val="16"/>
        </w:rPr>
        <w:t>Tax</w:t>
      </w:r>
      <w:r>
        <w:rPr>
          <w:spacing w:val="-5"/>
          <w:sz w:val="16"/>
        </w:rPr>
        <w:t> </w:t>
      </w:r>
      <w:r>
        <w:rPr>
          <w:sz w:val="16"/>
        </w:rPr>
        <w:t>fees</w:t>
      </w:r>
      <w:r>
        <w:rPr>
          <w:spacing w:val="-4"/>
          <w:sz w:val="16"/>
        </w:rPr>
        <w:t> </w:t>
      </w:r>
      <w:r>
        <w:rPr>
          <w:sz w:val="16"/>
        </w:rPr>
        <w:t>consist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professional</w:t>
      </w:r>
      <w:r>
        <w:rPr>
          <w:spacing w:val="-5"/>
          <w:sz w:val="16"/>
        </w:rPr>
        <w:t> </w:t>
      </w:r>
      <w:r>
        <w:rPr>
          <w:sz w:val="16"/>
        </w:rPr>
        <w:t>services</w:t>
      </w:r>
      <w:r>
        <w:rPr>
          <w:spacing w:val="-4"/>
          <w:sz w:val="16"/>
        </w:rPr>
        <w:t> </w:t>
      </w:r>
      <w:r>
        <w:rPr>
          <w:sz w:val="16"/>
        </w:rPr>
        <w:t>rendered</w:t>
      </w:r>
      <w:r>
        <w:rPr>
          <w:spacing w:val="-5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tax</w:t>
      </w:r>
      <w:r>
        <w:rPr>
          <w:spacing w:val="-4"/>
          <w:sz w:val="16"/>
        </w:rPr>
        <w:t> </w:t>
      </w:r>
      <w:r>
        <w:rPr>
          <w:sz w:val="16"/>
        </w:rPr>
        <w:t>compliance,</w:t>
      </w:r>
      <w:r>
        <w:rPr>
          <w:spacing w:val="-5"/>
          <w:sz w:val="16"/>
        </w:rPr>
        <w:t> </w:t>
      </w:r>
      <w:r>
        <w:rPr>
          <w:sz w:val="16"/>
        </w:rPr>
        <w:t>tax</w:t>
      </w:r>
      <w:r>
        <w:rPr>
          <w:spacing w:val="-4"/>
          <w:sz w:val="16"/>
        </w:rPr>
        <w:t> </w:t>
      </w:r>
      <w:r>
        <w:rPr>
          <w:sz w:val="16"/>
        </w:rPr>
        <w:t>advice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tax</w:t>
      </w:r>
      <w:r>
        <w:rPr>
          <w:spacing w:val="-4"/>
          <w:sz w:val="16"/>
        </w:rPr>
        <w:t> </w:t>
      </w:r>
      <w:r>
        <w:rPr>
          <w:sz w:val="16"/>
        </w:rPr>
        <w:t>planning.</w:t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spacing w:line="249" w:lineRule="auto" w:before="1"/>
        <w:ind w:left="250" w:right="643"/>
      </w:pPr>
      <w:r>
        <w:rPr>
          <w:i/>
          <w:spacing w:val="-1"/>
        </w:rPr>
        <w:t>Auditor Independence.</w:t>
      </w:r>
      <w:r>
        <w:rPr>
          <w:i/>
        </w:rPr>
        <w:t> </w:t>
      </w:r>
      <w:r>
        <w:rPr>
          <w:spacing w:val="-1"/>
        </w:rPr>
        <w:t>The Audit Committee has determined that </w:t>
      </w:r>
      <w:r>
        <w:rPr/>
        <w:t>the Independent Accountants' provision of the</w:t>
      </w:r>
      <w:r>
        <w:rPr>
          <w:spacing w:val="-53"/>
        </w:rPr>
        <w:t> </w:t>
      </w:r>
      <w:r>
        <w:rPr>
          <w:spacing w:val="-1"/>
        </w:rPr>
        <w:t>non-audit</w:t>
      </w:r>
      <w:r>
        <w:rPr>
          <w:spacing w:val="-4"/>
        </w:rPr>
        <w:t> </w:t>
      </w:r>
      <w:r>
        <w:rPr>
          <w:spacing w:val="-1"/>
        </w:rPr>
        <w:t>services</w:t>
      </w:r>
      <w:r>
        <w:rPr>
          <w:spacing w:val="-3"/>
        </w:rPr>
        <w:t> </w:t>
      </w:r>
      <w:r>
        <w:rPr>
          <w:spacing w:val="-1"/>
        </w:rPr>
        <w:t>described</w:t>
      </w:r>
      <w:r>
        <w:rPr>
          <w:spacing w:val="-3"/>
        </w:rPr>
        <w:t> </w:t>
      </w:r>
      <w:r>
        <w:rPr>
          <w:spacing w:val="-1"/>
        </w:rPr>
        <w:t>above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3"/>
        </w:rPr>
        <w:t> </w:t>
      </w:r>
      <w:r>
        <w:rPr>
          <w:spacing w:val="-1"/>
        </w:rPr>
        <w:t>compatible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maintaining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Independent</w:t>
      </w:r>
      <w:r>
        <w:rPr>
          <w:spacing w:val="-14"/>
        </w:rPr>
        <w:t> </w:t>
      </w:r>
      <w:r>
        <w:rPr/>
        <w:t>Accountants’</w:t>
      </w:r>
      <w:r>
        <w:rPr>
          <w:spacing w:val="-9"/>
        </w:rPr>
        <w:t> </w:t>
      </w:r>
      <w:r>
        <w:rPr/>
        <w:t>independence.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9" w:lineRule="auto"/>
        <w:ind w:left="250" w:right="469"/>
      </w:pPr>
      <w:r>
        <w:rPr>
          <w:i/>
          <w:spacing w:val="-1"/>
        </w:rPr>
        <w:t>Policy on Pre-Approval. </w:t>
      </w:r>
      <w:r>
        <w:rPr/>
        <w:t>The Company and the Audit Committee are committed to ensuring the independence of</w:t>
      </w:r>
      <w:r>
        <w:rPr>
          <w:spacing w:val="1"/>
        </w:rPr>
        <w:t> </w:t>
      </w:r>
      <w:r>
        <w:rPr>
          <w:spacing w:val="-1"/>
        </w:rPr>
        <w:t>the Company’s Independent Accountants, both in fact and </w:t>
      </w:r>
      <w:r>
        <w:rPr/>
        <w:t>in appearance.</w:t>
      </w:r>
      <w:r>
        <w:rPr>
          <w:spacing w:val="1"/>
        </w:rPr>
        <w:t> </w:t>
      </w:r>
      <w:r>
        <w:rPr/>
        <w:t>In this regard, the Audit Committee has</w:t>
      </w:r>
      <w:r>
        <w:rPr>
          <w:spacing w:val="-53"/>
        </w:rPr>
        <w:t> </w:t>
      </w:r>
      <w:r>
        <w:rPr>
          <w:spacing w:val="-1"/>
        </w:rPr>
        <w:t>established </w:t>
      </w:r>
      <w:r>
        <w:rPr/>
        <w:t>a pre-approval policy in accordance with the applicable rules of the SEC and the NYSE. The Audit</w:t>
      </w:r>
      <w:r>
        <w:rPr>
          <w:spacing w:val="1"/>
        </w:rPr>
        <w:t> </w:t>
      </w:r>
      <w:r>
        <w:rPr/>
        <w:t>Committee must pre-approve all audit services and permissible non-audit services provided by the Independent</w:t>
      </w:r>
      <w:r>
        <w:rPr>
          <w:spacing w:val="1"/>
        </w:rPr>
        <w:t> </w:t>
      </w:r>
      <w:r>
        <w:rPr>
          <w:spacing w:val="-1"/>
        </w:rPr>
        <w:t>Accountants, </w:t>
      </w:r>
      <w:r>
        <w:rPr/>
        <w:t>except for any </w:t>
      </w:r>
      <w:r>
        <w:rPr>
          <w:i/>
        </w:rPr>
        <w:t>de minimis </w:t>
      </w:r>
      <w:r>
        <w:rPr/>
        <w:t>non-audit services. The Audit Committee may delegate to one or more of</w:t>
      </w:r>
      <w:r>
        <w:rPr>
          <w:spacing w:val="1"/>
        </w:rPr>
        <w:t> </w:t>
      </w:r>
      <w:r>
        <w:rPr/>
        <w:t>its members who is an independent director the authority to grant pre-approvals. All services provided by Ernst &amp;</w:t>
      </w:r>
      <w:r>
        <w:rPr>
          <w:spacing w:val="1"/>
        </w:rPr>
        <w:t> </w:t>
      </w:r>
      <w:r>
        <w:rPr/>
        <w:t>Young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2021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pre-approved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3"/>
        </w:rPr>
        <w:t> </w:t>
      </w:r>
      <w:r>
        <w:rPr/>
        <w:t>Audit</w:t>
      </w:r>
      <w:r>
        <w:rPr>
          <w:spacing w:val="-1"/>
        </w:rPr>
        <w:t> </w:t>
      </w:r>
      <w:r>
        <w:rPr/>
        <w:t>Committee.</w:t>
      </w:r>
    </w:p>
    <w:p>
      <w:pPr>
        <w:pStyle w:val="BodyText"/>
        <w:spacing w:before="10"/>
        <w:rPr>
          <w:sz w:val="17"/>
        </w:rPr>
      </w:pPr>
    </w:p>
    <w:p>
      <w:pPr>
        <w:pStyle w:val="Heading5"/>
        <w:jc w:val="both"/>
      </w:pPr>
      <w:r>
        <w:rPr>
          <w:color w:val="00539E"/>
        </w:rPr>
        <w:t>Vote</w:t>
      </w:r>
      <w:r>
        <w:rPr>
          <w:color w:val="00539E"/>
          <w:spacing w:val="-10"/>
        </w:rPr>
        <w:t> </w:t>
      </w:r>
      <w:r>
        <w:rPr>
          <w:color w:val="00539E"/>
        </w:rPr>
        <w:t>Required</w:t>
      </w:r>
    </w:p>
    <w:p>
      <w:pPr>
        <w:pStyle w:val="BodyText"/>
        <w:spacing w:before="3"/>
        <w:rPr>
          <w:b/>
          <w:sz w:val="18"/>
        </w:rPr>
      </w:pPr>
    </w:p>
    <w:p>
      <w:pPr>
        <w:pStyle w:val="BodyText"/>
        <w:spacing w:line="249" w:lineRule="auto"/>
        <w:ind w:left="250" w:right="282"/>
      </w:pPr>
      <w:r>
        <w:rPr/>
        <w:t>The</w:t>
      </w:r>
      <w:r>
        <w:rPr>
          <w:spacing w:val="-4"/>
        </w:rPr>
        <w:t> </w:t>
      </w:r>
      <w:r>
        <w:rPr/>
        <w:t>affirmative</w:t>
      </w:r>
      <w:r>
        <w:rPr>
          <w:spacing w:val="-4"/>
        </w:rPr>
        <w:t> </w:t>
      </w:r>
      <w:r>
        <w:rPr/>
        <w:t>vote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majority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votes</w:t>
      </w:r>
      <w:r>
        <w:rPr>
          <w:spacing w:val="-4"/>
        </w:rPr>
        <w:t> </w:t>
      </w:r>
      <w:r>
        <w:rPr/>
        <w:t>cast</w:t>
      </w:r>
      <w:r>
        <w:rPr>
          <w:spacing w:val="-3"/>
        </w:rPr>
        <w:t> </w:t>
      </w:r>
      <w:r>
        <w:rPr/>
        <w:t>by</w:t>
      </w:r>
      <w:r>
        <w:rPr>
          <w:spacing w:val="-4"/>
        </w:rPr>
        <w:t> </w:t>
      </w:r>
      <w:r>
        <w:rPr/>
        <w:t>stockholders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record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necessary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ratify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selection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Ernst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Young.</w:t>
      </w:r>
    </w:p>
    <w:p>
      <w:pPr>
        <w:pStyle w:val="BodyText"/>
        <w:spacing w:before="6"/>
        <w:rPr>
          <w:sz w:val="17"/>
        </w:rPr>
      </w:pPr>
    </w:p>
    <w:p>
      <w:pPr>
        <w:spacing w:before="0"/>
        <w:ind w:left="250" w:right="0" w:firstLine="0"/>
        <w:jc w:val="both"/>
        <w:rPr>
          <w:b/>
          <w:sz w:val="20"/>
        </w:rPr>
      </w:pPr>
      <w:r>
        <w:rPr>
          <w:b/>
          <w:color w:val="00539E"/>
          <w:sz w:val="20"/>
        </w:rPr>
        <w:t>Board</w:t>
      </w:r>
      <w:r>
        <w:rPr>
          <w:b/>
          <w:color w:val="00539E"/>
          <w:spacing w:val="-9"/>
          <w:sz w:val="20"/>
        </w:rPr>
        <w:t> </w:t>
      </w:r>
      <w:r>
        <w:rPr>
          <w:b/>
          <w:color w:val="00539E"/>
          <w:sz w:val="20"/>
        </w:rPr>
        <w:t>Recommendation</w:t>
      </w:r>
    </w:p>
    <w:p>
      <w:pPr>
        <w:pStyle w:val="BodyText"/>
        <w:spacing w:before="3"/>
        <w:rPr>
          <w:b/>
          <w:sz w:val="18"/>
        </w:rPr>
      </w:pPr>
    </w:p>
    <w:p>
      <w:pPr>
        <w:spacing w:line="249" w:lineRule="auto" w:before="0"/>
        <w:ind w:left="250" w:right="445" w:firstLine="0"/>
        <w:jc w:val="both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Board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unanimously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recommends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that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vote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"FOR"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ratification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selection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Ernst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Young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as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Company's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Independent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Accountants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year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ending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December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31,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2022.</w:t>
      </w:r>
    </w:p>
    <w:p>
      <w:pPr>
        <w:spacing w:after="0" w:line="249" w:lineRule="auto"/>
        <w:jc w:val="both"/>
        <w:rPr>
          <w:sz w:val="20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Heading1"/>
      </w:pPr>
      <w:bookmarkStart w:name="Audit Committee Report" w:id="52"/>
      <w:bookmarkEnd w:id="52"/>
      <w:r>
        <w:rPr>
          <w:b w:val="0"/>
        </w:rPr>
      </w:r>
      <w:bookmarkStart w:name="_bookmark22" w:id="53"/>
      <w:bookmarkEnd w:id="53"/>
      <w:r>
        <w:rPr>
          <w:b w:val="0"/>
        </w:rPr>
      </w:r>
      <w:r>
        <w:rPr>
          <w:color w:val="00539E"/>
        </w:rPr>
        <w:t>AUDIT</w:t>
      </w:r>
      <w:r>
        <w:rPr>
          <w:color w:val="00539E"/>
          <w:spacing w:val="-3"/>
        </w:rPr>
        <w:t> </w:t>
      </w:r>
      <w:r>
        <w:rPr>
          <w:color w:val="00539E"/>
        </w:rPr>
        <w:t>COMMITTEE</w:t>
      </w:r>
      <w:r>
        <w:rPr>
          <w:color w:val="00539E"/>
          <w:spacing w:val="-3"/>
        </w:rPr>
        <w:t> </w:t>
      </w:r>
      <w:r>
        <w:rPr>
          <w:color w:val="00539E"/>
        </w:rPr>
        <w:t>REPORT</w:t>
      </w:r>
    </w:p>
    <w:p>
      <w:pPr>
        <w:pStyle w:val="BodyText"/>
        <w:spacing w:line="249" w:lineRule="auto" w:before="221"/>
        <w:ind w:left="250" w:right="376"/>
      </w:pPr>
      <w:r>
        <w:rPr>
          <w:spacing w:val="-1"/>
        </w:rPr>
        <w:t>The Audit Committee of the Board is composed </w:t>
      </w:r>
      <w:r>
        <w:rPr/>
        <w:t>of four Directors, each of whom the Board has determined meets</w:t>
      </w:r>
      <w:r>
        <w:rPr>
          <w:spacing w:val="1"/>
        </w:rPr>
        <w:t> </w:t>
      </w:r>
      <w:r>
        <w:rPr>
          <w:spacing w:val="-1"/>
        </w:rPr>
        <w:t>the independence </w:t>
      </w:r>
      <w:r>
        <w:rPr/>
        <w:t>and financial literacy requirements of the NYSE and Rule 10A-3 under the Exchange Act. In</w:t>
      </w:r>
      <w:r>
        <w:rPr>
          <w:spacing w:val="1"/>
        </w:rPr>
        <w:t> </w:t>
      </w:r>
      <w:r>
        <w:rPr/>
        <w:t>addition, the Board has determined that each of these four Directors qualifies as an "audit committee financial</w:t>
      </w:r>
      <w:r>
        <w:rPr>
          <w:spacing w:val="1"/>
        </w:rPr>
        <w:t> </w:t>
      </w:r>
      <w:r>
        <w:rPr>
          <w:spacing w:val="-1"/>
        </w:rPr>
        <w:t>expert" </w:t>
      </w:r>
      <w:r>
        <w:rPr/>
        <w:t>as defined by the SEC rules. No member of the Audit Committee is a current or former officer or employee</w:t>
      </w:r>
      <w:r>
        <w:rPr>
          <w:spacing w:val="-5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member</w:t>
      </w:r>
      <w:r>
        <w:rPr>
          <w:spacing w:val="-2"/>
        </w:rPr>
        <w:t> </w:t>
      </w:r>
      <w:r>
        <w:rPr/>
        <w:t>serves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-2"/>
        </w:rPr>
        <w:t> </w:t>
      </w:r>
      <w:r>
        <w:rPr/>
        <w:t>two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/>
        <w:t>company</w:t>
      </w:r>
      <w:r>
        <w:rPr>
          <w:spacing w:val="-2"/>
        </w:rPr>
        <w:t> </w:t>
      </w:r>
      <w:r>
        <w:rPr/>
        <w:t>audit</w:t>
      </w:r>
      <w:r>
        <w:rPr>
          <w:spacing w:val="-3"/>
        </w:rPr>
        <w:t> </w:t>
      </w:r>
      <w:r>
        <w:rPr/>
        <w:t>committees.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/>
        <w:ind w:left="250" w:right="312"/>
      </w:pPr>
      <w:r>
        <w:rPr>
          <w:spacing w:val="-1"/>
        </w:rPr>
        <w:t>The Audit Committee oversees the Company’s </w:t>
      </w:r>
      <w:r>
        <w:rPr/>
        <w:t>financial reporting and enterprise risk processes on behalf of the</w:t>
      </w:r>
      <w:r>
        <w:rPr>
          <w:spacing w:val="1"/>
        </w:rPr>
        <w:t> </w:t>
      </w:r>
      <w:r>
        <w:rPr/>
        <w:t>Board. The Company's management has the primary responsibility for the financial statements, for maintaining</w:t>
      </w:r>
      <w:r>
        <w:rPr>
          <w:spacing w:val="1"/>
        </w:rPr>
        <w:t> </w:t>
      </w:r>
      <w:r>
        <w:rPr/>
        <w:t>effective</w:t>
      </w:r>
      <w:r>
        <w:rPr>
          <w:spacing w:val="-6"/>
        </w:rPr>
        <w:t> </w:t>
      </w:r>
      <w:r>
        <w:rPr/>
        <w:t>internal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over</w:t>
      </w:r>
      <w:r>
        <w:rPr>
          <w:spacing w:val="-5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reporting,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assessing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effectiveness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internal</w:t>
      </w:r>
      <w:r>
        <w:rPr>
          <w:spacing w:val="-5"/>
        </w:rPr>
        <w:t> </w:t>
      </w:r>
      <w:r>
        <w:rPr/>
        <w:t>control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reporting. The Audit Committee is governed by a written charter approved by the Board, which is posted on the</w:t>
      </w:r>
      <w:r>
        <w:rPr>
          <w:spacing w:val="1"/>
        </w:rPr>
        <w:t> </w:t>
      </w:r>
      <w:r>
        <w:rPr>
          <w:spacing w:val="-1"/>
        </w:rPr>
        <w:t>Company's website.</w:t>
      </w:r>
      <w:r>
        <w:rPr/>
        <w:t> In accordance with this charter, the Audit Committee oversees the accounting, auditing,</w:t>
      </w:r>
      <w:r>
        <w:rPr>
          <w:spacing w:val="1"/>
        </w:rPr>
        <w:t> </w:t>
      </w:r>
      <w:r>
        <w:rPr>
          <w:spacing w:val="-1"/>
        </w:rPr>
        <w:t>financial reporting, </w:t>
      </w:r>
      <w:r>
        <w:rPr/>
        <w:t>and risk management practices of the Company. The Audit Committee is responsible for the</w:t>
      </w:r>
      <w:r>
        <w:rPr>
          <w:spacing w:val="1"/>
        </w:rPr>
        <w:t> </w:t>
      </w:r>
      <w:r>
        <w:rPr>
          <w:spacing w:val="-1"/>
        </w:rPr>
        <w:t>appointment, </w:t>
      </w:r>
      <w:r>
        <w:rPr/>
        <w:t>retention, compensation, and oversight of the work of the Independent Accountants. The Audit</w:t>
      </w:r>
      <w:r>
        <w:rPr>
          <w:spacing w:val="1"/>
        </w:rPr>
        <w:t> </w:t>
      </w:r>
      <w:r>
        <w:rPr>
          <w:spacing w:val="-1"/>
        </w:rPr>
        <w:t>Committee pre-approves the services </w:t>
      </w:r>
      <w:r>
        <w:rPr/>
        <w:t>of the Independent Accountants in accordance with the applicable rules of the</w:t>
      </w:r>
      <w:r>
        <w:rPr>
          <w:spacing w:val="-53"/>
        </w:rPr>
        <w:t> </w:t>
      </w:r>
      <w:r>
        <w:rPr>
          <w:spacing w:val="-1"/>
        </w:rPr>
        <w:t>SEC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NYSE.</w:t>
      </w:r>
      <w:r>
        <w:rPr>
          <w:spacing w:val="50"/>
        </w:rPr>
        <w:t> </w:t>
      </w:r>
      <w:r>
        <w:rPr/>
        <w:t>The</w:t>
      </w:r>
      <w:r>
        <w:rPr>
          <w:spacing w:val="-9"/>
        </w:rPr>
        <w:t> </w:t>
      </w:r>
      <w:r>
        <w:rPr/>
        <w:t>Audit</w:t>
      </w:r>
      <w:r>
        <w:rPr>
          <w:spacing w:val="2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</w:t>
      </w:r>
      <w:r>
        <w:rPr>
          <w:spacing w:val="2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procedures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complaints</w:t>
      </w:r>
      <w:r>
        <w:rPr>
          <w:spacing w:val="2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 employees regarding internal control, accounting, and auditing matters. The Audit Committee held nine</w:t>
      </w:r>
      <w:r>
        <w:rPr>
          <w:spacing w:val="1"/>
        </w:rPr>
        <w:t> </w:t>
      </w:r>
      <w:r>
        <w:rPr/>
        <w:t>meetings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9" w:lineRule="auto"/>
        <w:ind w:left="250" w:right="385"/>
      </w:pPr>
      <w:r>
        <w:rPr/>
        <w:t>In fulfilling its oversight responsibilities, the Audit Committee reviewed and discussed the audited financial</w:t>
      </w:r>
      <w:r>
        <w:rPr>
          <w:spacing w:val="1"/>
        </w:rPr>
        <w:t> </w:t>
      </w:r>
      <w:r>
        <w:rPr>
          <w:spacing w:val="-1"/>
        </w:rPr>
        <w:t>statements in the Company’s Annual Report on Form </w:t>
      </w:r>
      <w:r>
        <w:rPr/>
        <w:t>10-K for the year ended December 31, 2021 (the "2021 Form</w:t>
      </w:r>
      <w:r>
        <w:rPr>
          <w:spacing w:val="-53"/>
        </w:rPr>
        <w:t> </w:t>
      </w:r>
      <w:r>
        <w:rPr/>
        <w:t>10-K") with the Company's management, including a discussion of the quality, not just the acceptability, of the</w:t>
      </w:r>
      <w:r>
        <w:rPr>
          <w:spacing w:val="1"/>
        </w:rPr>
        <w:t> </w:t>
      </w:r>
      <w:r>
        <w:rPr/>
        <w:t>accounting principles; the reasonableness of significant judgments; and the clarity of disclosures in the financial</w:t>
      </w:r>
      <w:r>
        <w:rPr>
          <w:spacing w:val="1"/>
        </w:rPr>
        <w:t> </w:t>
      </w:r>
      <w:r>
        <w:rPr>
          <w:spacing w:val="-1"/>
        </w:rPr>
        <w:t>statements. </w:t>
      </w:r>
      <w:r>
        <w:rPr/>
        <w:t>The Audit Committee also reviewed and discussed management’s report on its assessment of the</w:t>
      </w:r>
      <w:r>
        <w:rPr>
          <w:spacing w:val="1"/>
        </w:rPr>
        <w:t> </w:t>
      </w:r>
      <w:r>
        <w:rPr>
          <w:spacing w:val="-1"/>
        </w:rPr>
        <w:t>effectiveness of the Company’s internal control over </w:t>
      </w:r>
      <w:r>
        <w:rPr/>
        <w:t>financial reporting and the Independent Accountant’s report on</w:t>
      </w:r>
      <w:r>
        <w:rPr>
          <w:spacing w:val="-53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Company’s</w:t>
      </w:r>
      <w:r>
        <w:rPr>
          <w:spacing w:val="-6"/>
        </w:rPr>
        <w:t> </w:t>
      </w:r>
      <w:r>
        <w:rPr/>
        <w:t>internal</w:t>
      </w:r>
      <w:r>
        <w:rPr>
          <w:spacing w:val="-6"/>
        </w:rPr>
        <w:t> </w:t>
      </w:r>
      <w:r>
        <w:rPr/>
        <w:t>control</w:t>
      </w:r>
      <w:r>
        <w:rPr>
          <w:spacing w:val="-6"/>
        </w:rPr>
        <w:t> </w:t>
      </w:r>
      <w:r>
        <w:rPr/>
        <w:t>over</w:t>
      </w:r>
      <w:r>
        <w:rPr>
          <w:spacing w:val="-6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reporting</w:t>
      </w:r>
      <w:r>
        <w:rPr>
          <w:spacing w:val="-5"/>
        </w:rPr>
        <w:t> </w:t>
      </w:r>
      <w:r>
        <w:rPr/>
        <w:t>with</w:t>
      </w:r>
      <w:r>
        <w:rPr>
          <w:spacing w:val="-6"/>
        </w:rPr>
        <w:t> </w:t>
      </w:r>
      <w:r>
        <w:rPr/>
        <w:t>management,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internal</w:t>
      </w:r>
      <w:r>
        <w:rPr>
          <w:spacing w:val="-6"/>
        </w:rPr>
        <w:t> </w:t>
      </w:r>
      <w:r>
        <w:rPr/>
        <w:t>auditors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Accountants.</w:t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/>
        <w:ind w:left="250" w:right="376"/>
      </w:pPr>
      <w:r>
        <w:rPr/>
        <w:t>The Independent Accountants are responsible for expressing an opinion on the conformity of the Company's</w:t>
      </w:r>
      <w:r>
        <w:rPr>
          <w:spacing w:val="1"/>
        </w:rPr>
        <w:t> </w:t>
      </w:r>
      <w:r>
        <w:rPr>
          <w:spacing w:val="-1"/>
        </w:rPr>
        <w:t>audited financial statements with generally </w:t>
      </w:r>
      <w:r>
        <w:rPr/>
        <w:t>accepted accounting principles.</w:t>
      </w:r>
      <w:r>
        <w:rPr>
          <w:spacing w:val="1"/>
        </w:rPr>
        <w:t> </w:t>
      </w:r>
      <w:r>
        <w:rPr/>
        <w:t>The Audit Committee reviewed with the</w:t>
      </w:r>
      <w:r>
        <w:rPr>
          <w:spacing w:val="-53"/>
        </w:rPr>
        <w:t> </w:t>
      </w:r>
      <w:r>
        <w:rPr>
          <w:spacing w:val="-1"/>
        </w:rPr>
        <w:t>Independent Accountants their judgments as to the quality, not just the acceptability, of the </w:t>
      </w:r>
      <w:r>
        <w:rPr/>
        <w:t>Company's accounting</w:t>
      </w:r>
      <w:r>
        <w:rPr>
          <w:spacing w:val="1"/>
        </w:rPr>
        <w:t> </w:t>
      </w:r>
      <w:r>
        <w:rPr/>
        <w:t>principles and such other matters as are required to be discussed with the Audit Committee by standards of the</w:t>
      </w:r>
      <w:r>
        <w:rPr>
          <w:spacing w:val="1"/>
        </w:rPr>
        <w:t> </w:t>
      </w:r>
      <w:r>
        <w:rPr>
          <w:spacing w:val="-1"/>
        </w:rPr>
        <w:t>Public Company Accounting Oversight Board ("PCAOB"), </w:t>
      </w:r>
      <w:r>
        <w:rPr/>
        <w:t>rules of the SEC, and other applicable regulations.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spacing w:val="-1"/>
        </w:rPr>
        <w:t>addition, the Audit Committee has discussed independence with </w:t>
      </w:r>
      <w:r>
        <w:rPr/>
        <w:t>the Independent Accountants.</w:t>
      </w:r>
      <w:r>
        <w:rPr>
          <w:spacing w:val="1"/>
        </w:rPr>
        <w:t> </w:t>
      </w:r>
      <w:r>
        <w:rPr/>
        <w:t>These discussions</w:t>
      </w:r>
      <w:r>
        <w:rPr>
          <w:spacing w:val="1"/>
        </w:rPr>
        <w:t> </w:t>
      </w:r>
      <w:r>
        <w:rPr>
          <w:spacing w:val="-1"/>
        </w:rPr>
        <w:t>included the Independent Accountant’s independence from the Company’s </w:t>
      </w:r>
      <w:r>
        <w:rPr/>
        <w:t>management and the Company,</w:t>
      </w:r>
      <w:r>
        <w:rPr>
          <w:spacing w:val="1"/>
        </w:rPr>
        <w:t> </w:t>
      </w:r>
      <w:r>
        <w:rPr/>
        <w:t>including the matters in the letter from the Independent Accountants required by the PCAOB regarding the</w:t>
      </w:r>
      <w:r>
        <w:rPr>
          <w:spacing w:val="1"/>
        </w:rPr>
        <w:t> </w:t>
      </w:r>
      <w:r>
        <w:rPr>
          <w:spacing w:val="-1"/>
        </w:rPr>
        <w:t>Independent Accountant’s communications with </w:t>
      </w:r>
      <w:r>
        <w:rPr/>
        <w:t>the Audit Committee concerning independence.</w:t>
      </w:r>
      <w:r>
        <w:rPr>
          <w:spacing w:val="1"/>
        </w:rPr>
        <w:t> </w:t>
      </w:r>
      <w:r>
        <w:rPr/>
        <w:t>The Audit</w:t>
      </w:r>
      <w:r>
        <w:rPr>
          <w:spacing w:val="1"/>
        </w:rPr>
        <w:t> </w:t>
      </w:r>
      <w:r>
        <w:rPr/>
        <w:t>Committee also considered the compatibility of non-audit services provided to the Company by the Independent</w:t>
      </w:r>
      <w:r>
        <w:rPr>
          <w:spacing w:val="1"/>
        </w:rPr>
        <w:t> </w:t>
      </w:r>
      <w:r>
        <w:rPr/>
        <w:t>Accountants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Independent</w:t>
      </w:r>
      <w:r>
        <w:rPr>
          <w:spacing w:val="-12"/>
        </w:rPr>
        <w:t> </w:t>
      </w:r>
      <w:r>
        <w:rPr/>
        <w:t>Accountant’s</w:t>
      </w:r>
      <w:r>
        <w:rPr>
          <w:spacing w:val="-2"/>
        </w:rPr>
        <w:t> </w:t>
      </w:r>
      <w:r>
        <w:rPr/>
        <w:t>independence.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249" w:lineRule="auto"/>
        <w:ind w:left="250" w:right="282"/>
      </w:pPr>
      <w:r>
        <w:rPr>
          <w:spacing w:val="-1"/>
        </w:rPr>
        <w:t>The Audit Committee discussed with the Independent Accountants </w:t>
      </w:r>
      <w:r>
        <w:rPr/>
        <w:t>the overall scope and plans for their audit.</w:t>
      </w:r>
      <w:r>
        <w:rPr>
          <w:spacing w:val="1"/>
        </w:rPr>
        <w:t> </w:t>
      </w:r>
      <w:r>
        <w:rPr/>
        <w:t>The</w:t>
      </w:r>
      <w:r>
        <w:rPr>
          <w:spacing w:val="-53"/>
        </w:rPr>
        <w:t> </w:t>
      </w:r>
      <w:r>
        <w:rPr>
          <w:spacing w:val="-1"/>
        </w:rPr>
        <w:t>Audit Committee </w:t>
      </w:r>
      <w:r>
        <w:rPr/>
        <w:t>met with the Independent Accountants, with and without management present, to discuss the</w:t>
      </w:r>
      <w:r>
        <w:rPr>
          <w:spacing w:val="1"/>
        </w:rPr>
        <w:t> </w:t>
      </w:r>
      <w:r>
        <w:rPr/>
        <w:t>results of their examinations; their evaluation of the Company's internal controls, including internal control over</w:t>
      </w:r>
      <w:r>
        <w:rPr>
          <w:spacing w:val="1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reporting;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overall</w:t>
      </w:r>
      <w:r>
        <w:rPr>
          <w:spacing w:val="-2"/>
        </w:rPr>
        <w:t> </w:t>
      </w:r>
      <w:r>
        <w:rPr/>
        <w:t>quality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Company's</w:t>
      </w:r>
      <w:r>
        <w:rPr>
          <w:spacing w:val="-2"/>
        </w:rPr>
        <w:t> </w:t>
      </w:r>
      <w:r>
        <w:rPr/>
        <w:t>financial</w:t>
      </w:r>
      <w:r>
        <w:rPr>
          <w:spacing w:val="-2"/>
        </w:rPr>
        <w:t> </w:t>
      </w:r>
      <w:r>
        <w:rPr/>
        <w:t>reporting.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/>
        <w:ind w:left="250" w:right="376"/>
      </w:pPr>
      <w:r>
        <w:rPr>
          <w:spacing w:val="-1"/>
        </w:rPr>
        <w:t>In reliance on the </w:t>
      </w:r>
      <w:r>
        <w:rPr/>
        <w:t>reviews and discussions referred to above, the Audit Committee recommended to the Board, and</w:t>
      </w:r>
      <w:r>
        <w:rPr>
          <w:spacing w:val="-53"/>
        </w:rPr>
        <w:t> </w:t>
      </w:r>
      <w:r>
        <w:rPr/>
        <w:t>the Board approved, that the audited financial statements and management's assessment of the effectiveness of</w:t>
      </w:r>
      <w:r>
        <w:rPr>
          <w:spacing w:val="1"/>
        </w:rPr>
        <w:t> </w:t>
      </w:r>
      <w:r>
        <w:rPr/>
        <w:t>the Company’s internal control over financial reporting be included in the 2021 Form 10-K for filing with the SEC.</w:t>
      </w:r>
      <w:r>
        <w:rPr>
          <w:spacing w:val="1"/>
        </w:rPr>
        <w:t> </w:t>
      </w:r>
      <w:r>
        <w:rPr>
          <w:spacing w:val="-1"/>
        </w:rPr>
        <w:t>The Audit Committee and the Board have recommended that stockholders </w:t>
      </w:r>
      <w:r>
        <w:rPr/>
        <w:t>ratify the selection of Ernst &amp; Young as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Company’s</w:t>
      </w:r>
      <w:r>
        <w:rPr>
          <w:spacing w:val="-2"/>
        </w:rPr>
        <w:t> </w:t>
      </w:r>
      <w:r>
        <w:rPr/>
        <w:t>Independent</w:t>
      </w:r>
      <w:r>
        <w:rPr>
          <w:spacing w:val="-13"/>
        </w:rPr>
        <w:t> </w:t>
      </w:r>
      <w:r>
        <w:rPr/>
        <w:t>Accountants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year</w:t>
      </w:r>
      <w:r>
        <w:rPr>
          <w:spacing w:val="-2"/>
        </w:rPr>
        <w:t> </w:t>
      </w:r>
      <w:r>
        <w:rPr/>
        <w:t>ending</w:t>
      </w:r>
      <w:r>
        <w:rPr>
          <w:spacing w:val="-2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31,</w:t>
      </w:r>
      <w:r>
        <w:rPr>
          <w:spacing w:val="-2"/>
        </w:rPr>
        <w:t> </w:t>
      </w:r>
      <w:r>
        <w:rPr/>
        <w:t>2022.</w:t>
      </w: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250" w:right="0" w:firstLine="0"/>
        <w:jc w:val="left"/>
        <w:rPr>
          <w:i/>
          <w:sz w:val="20"/>
        </w:rPr>
      </w:pPr>
      <w:r>
        <w:rPr>
          <w:i/>
          <w:sz w:val="20"/>
        </w:rPr>
        <w:t>Respectfully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submitted,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spacing w:line="249" w:lineRule="auto"/>
        <w:ind w:left="250" w:right="8844"/>
      </w:pPr>
      <w:r>
        <w:rPr/>
        <w:t>Philip</w:t>
      </w:r>
      <w:r>
        <w:rPr>
          <w:spacing w:val="-8"/>
        </w:rPr>
        <w:t> </w:t>
      </w:r>
      <w:r>
        <w:rPr/>
        <w:t>Calian,</w:t>
      </w:r>
      <w:r>
        <w:rPr>
          <w:spacing w:val="-7"/>
        </w:rPr>
        <w:t> </w:t>
      </w:r>
      <w:r>
        <w:rPr/>
        <w:t>Chair</w:t>
      </w:r>
      <w:r>
        <w:rPr>
          <w:spacing w:val="-53"/>
        </w:rPr>
        <w:t> </w:t>
      </w:r>
      <w:r>
        <w:rPr/>
        <w:t>Derrick Burks</w:t>
      </w:r>
      <w:r>
        <w:rPr>
          <w:spacing w:val="1"/>
        </w:rPr>
        <w:t> </w:t>
      </w:r>
      <w:r>
        <w:rPr/>
        <w:t>David</w:t>
      </w:r>
      <w:r>
        <w:rPr>
          <w:spacing w:val="-2"/>
        </w:rPr>
        <w:t> </w:t>
      </w:r>
      <w:r>
        <w:rPr/>
        <w:t>Contis</w:t>
      </w:r>
    </w:p>
    <w:p>
      <w:pPr>
        <w:pStyle w:val="BodyText"/>
        <w:spacing w:before="3"/>
        <w:ind w:left="250"/>
      </w:pPr>
      <w:r>
        <w:rPr/>
        <w:t>Scott</w:t>
      </w:r>
      <w:r>
        <w:rPr>
          <w:spacing w:val="-9"/>
        </w:rPr>
        <w:t> </w:t>
      </w:r>
      <w:r>
        <w:rPr/>
        <w:t>Peppet</w:t>
      </w:r>
    </w:p>
    <w:p>
      <w:pPr>
        <w:spacing w:after="0"/>
        <w:sectPr>
          <w:pgSz w:w="12240" w:h="15840"/>
          <w:pgMar w:header="0" w:footer="517" w:top="740" w:bottom="780" w:left="740" w:right="700"/>
        </w:sectPr>
      </w:pPr>
    </w:p>
    <w:p>
      <w:pPr>
        <w:pStyle w:val="Heading1"/>
        <w:ind w:left="2674"/>
      </w:pPr>
      <w:bookmarkStart w:name="Compensation Discussion and Analysis" w:id="54"/>
      <w:bookmarkEnd w:id="54"/>
      <w:r>
        <w:rPr>
          <w:b w:val="0"/>
        </w:rPr>
      </w:r>
      <w:bookmarkStart w:name="_bookmark23" w:id="55"/>
      <w:bookmarkEnd w:id="55"/>
      <w:r>
        <w:rPr>
          <w:b w:val="0"/>
        </w:rPr>
      </w:r>
      <w:r>
        <w:rPr>
          <w:color w:val="00539E"/>
        </w:rPr>
        <w:t>COMPENSATION</w:t>
      </w:r>
      <w:r>
        <w:rPr>
          <w:color w:val="00539E"/>
          <w:spacing w:val="-4"/>
        </w:rPr>
        <w:t> </w:t>
      </w:r>
      <w:r>
        <w:rPr>
          <w:color w:val="00539E"/>
        </w:rPr>
        <w:t>DISCUSSION</w:t>
      </w:r>
      <w:r>
        <w:rPr>
          <w:color w:val="00539E"/>
          <w:spacing w:val="-4"/>
        </w:rPr>
        <w:t> </w:t>
      </w:r>
      <w:r>
        <w:rPr>
          <w:color w:val="00539E"/>
        </w:rPr>
        <w:t>AND</w:t>
      </w:r>
      <w:r>
        <w:rPr>
          <w:color w:val="00539E"/>
          <w:spacing w:val="-3"/>
        </w:rPr>
        <w:t> </w:t>
      </w:r>
      <w:r>
        <w:rPr>
          <w:color w:val="00539E"/>
        </w:rPr>
        <w:t>ANALYSIS</w:t>
      </w:r>
    </w:p>
    <w:p>
      <w:pPr>
        <w:pStyle w:val="BodyText"/>
        <w:spacing w:before="2"/>
        <w:rPr>
          <w:b/>
          <w:sz w:val="35"/>
        </w:rPr>
      </w:pPr>
    </w:p>
    <w:p>
      <w:pPr>
        <w:pStyle w:val="Heading3"/>
      </w:pPr>
      <w:r>
        <w:rPr>
          <w:color w:val="00539E"/>
        </w:rPr>
        <w:t>Executive</w:t>
      </w:r>
      <w:r>
        <w:rPr>
          <w:color w:val="00539E"/>
          <w:spacing w:val="-6"/>
        </w:rPr>
        <w:t> </w:t>
      </w:r>
      <w:r>
        <w:rPr>
          <w:color w:val="00539E"/>
        </w:rPr>
        <w:t>Officers'</w:t>
      </w:r>
      <w:r>
        <w:rPr>
          <w:color w:val="00539E"/>
          <w:spacing w:val="-6"/>
        </w:rPr>
        <w:t> </w:t>
      </w:r>
      <w:r>
        <w:rPr>
          <w:color w:val="00539E"/>
        </w:rPr>
        <w:t>Biographical</w:t>
      </w:r>
      <w:r>
        <w:rPr>
          <w:color w:val="00539E"/>
          <w:spacing w:val="-6"/>
        </w:rPr>
        <w:t> </w:t>
      </w:r>
      <w:r>
        <w:rPr>
          <w:color w:val="00539E"/>
        </w:rPr>
        <w:t>Information</w:t>
      </w:r>
    </w:p>
    <w:p>
      <w:pPr>
        <w:pStyle w:val="BodyText"/>
        <w:spacing w:before="6"/>
        <w:rPr>
          <w:b/>
          <w:sz w:val="26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614268</wp:posOffset>
            </wp:positionH>
            <wp:positionV relativeFrom="paragraph">
              <wp:posOffset>209181</wp:posOffset>
            </wp:positionV>
            <wp:extent cx="6449576" cy="1805939"/>
            <wp:effectExtent l="0" t="0" r="0" b="0"/>
            <wp:wrapTopAndBottom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9576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49" w:lineRule="auto"/>
        <w:ind w:left="250"/>
      </w:pPr>
      <w:r>
        <w:rPr/>
        <w:t>For</w:t>
      </w:r>
      <w:r>
        <w:rPr>
          <w:spacing w:val="11"/>
        </w:rPr>
        <w:t> </w:t>
      </w:r>
      <w:r>
        <w:rPr/>
        <w:t>information</w:t>
      </w:r>
      <w:r>
        <w:rPr>
          <w:spacing w:val="12"/>
        </w:rPr>
        <w:t> </w:t>
      </w:r>
      <w:r>
        <w:rPr/>
        <w:t>with</w:t>
      </w:r>
      <w:r>
        <w:rPr>
          <w:spacing w:val="11"/>
        </w:rPr>
        <w:t> </w:t>
      </w:r>
      <w:r>
        <w:rPr/>
        <w:t>respect</w:t>
      </w:r>
      <w:r>
        <w:rPr>
          <w:spacing w:val="11"/>
        </w:rPr>
        <w:t> </w:t>
      </w:r>
      <w:r>
        <w:rPr/>
        <w:t>to</w:t>
      </w:r>
      <w:r>
        <w:rPr>
          <w:spacing w:val="11"/>
        </w:rPr>
        <w:t> </w:t>
      </w:r>
      <w:r>
        <w:rPr/>
        <w:t>Ms.</w:t>
      </w:r>
      <w:r>
        <w:rPr>
          <w:spacing w:val="11"/>
        </w:rPr>
        <w:t> </w:t>
      </w:r>
      <w:r>
        <w:rPr/>
        <w:t>Nader,</w:t>
      </w:r>
      <w:r>
        <w:rPr>
          <w:spacing w:val="11"/>
        </w:rPr>
        <w:t> </w:t>
      </w:r>
      <w:r>
        <w:rPr/>
        <w:t>please</w:t>
      </w:r>
      <w:r>
        <w:rPr>
          <w:spacing w:val="11"/>
        </w:rPr>
        <w:t> </w:t>
      </w:r>
      <w:r>
        <w:rPr/>
        <w:t>refer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"Nominees'</w:t>
      </w:r>
      <w:r>
        <w:rPr>
          <w:spacing w:val="10"/>
        </w:rPr>
        <w:t> </w:t>
      </w:r>
      <w:r>
        <w:rPr/>
        <w:t>Biographical</w:t>
      </w:r>
      <w:r>
        <w:rPr>
          <w:spacing w:val="12"/>
        </w:rPr>
        <w:t> </w:t>
      </w:r>
      <w:r>
        <w:rPr/>
        <w:t>Information"</w:t>
      </w:r>
      <w:r>
        <w:rPr>
          <w:spacing w:val="11"/>
        </w:rPr>
        <w:t> </w:t>
      </w:r>
      <w:r>
        <w:rPr/>
        <w:t>section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this</w:t>
      </w:r>
      <w:r>
        <w:rPr>
          <w:spacing w:val="1"/>
        </w:rPr>
        <w:t> </w:t>
      </w:r>
      <w:r>
        <w:rPr/>
        <w:t>Proxy</w:t>
      </w:r>
      <w:r>
        <w:rPr>
          <w:spacing w:val="-2"/>
        </w:rPr>
        <w:t> </w:t>
      </w:r>
      <w:r>
        <w:rPr/>
        <w:t>Statement.</w:t>
      </w:r>
      <w:r>
        <w:rPr>
          <w:spacing w:val="42"/>
        </w:rPr>
        <w:t> </w:t>
      </w:r>
      <w:r>
        <w:rPr/>
        <w:t>All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Executive</w:t>
      </w:r>
      <w:r>
        <w:rPr>
          <w:spacing w:val="-1"/>
        </w:rPr>
        <w:t> </w:t>
      </w:r>
      <w:r>
        <w:rPr/>
        <w:t>Officers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named</w:t>
      </w:r>
      <w:r>
        <w:rPr>
          <w:spacing w:val="-2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officers</w:t>
      </w:r>
      <w:r>
        <w:rPr>
          <w:spacing w:val="-2"/>
        </w:rPr>
        <w:t> </w:t>
      </w:r>
      <w:r>
        <w:rPr/>
        <w:t>("NEOs").</w:t>
      </w:r>
    </w:p>
    <w:p>
      <w:pPr>
        <w:pStyle w:val="Heading3"/>
        <w:spacing w:before="197"/>
      </w:pPr>
      <w:r>
        <w:rPr/>
        <w:t>Paul</w:t>
      </w:r>
      <w:r>
        <w:rPr>
          <w:spacing w:val="-4"/>
        </w:rPr>
        <w:t> </w:t>
      </w:r>
      <w:r>
        <w:rPr/>
        <w:t>Seavey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Executive</w:t>
      </w:r>
      <w:r>
        <w:rPr>
          <w:spacing w:val="-3"/>
        </w:rPr>
        <w:t> </w:t>
      </w:r>
      <w:r>
        <w:rPr/>
        <w:t>Vice</w:t>
      </w:r>
      <w:r>
        <w:rPr>
          <w:spacing w:val="-3"/>
        </w:rPr>
        <w:t> </w:t>
      </w:r>
      <w:r>
        <w:rPr/>
        <w:t>President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Chief</w:t>
      </w:r>
      <w:r>
        <w:rPr>
          <w:spacing w:val="-3"/>
        </w:rPr>
        <w:t> </w:t>
      </w:r>
      <w:r>
        <w:rPr/>
        <w:t>Financial</w:t>
      </w:r>
      <w:r>
        <w:rPr>
          <w:spacing w:val="-3"/>
        </w:rPr>
        <w:t> </w:t>
      </w:r>
      <w:r>
        <w:rPr/>
        <w:t>Officer</w:t>
      </w:r>
    </w:p>
    <w:p>
      <w:pPr>
        <w:pStyle w:val="BodyText"/>
        <w:spacing w:line="249" w:lineRule="auto" w:before="215"/>
        <w:ind w:left="250" w:right="469"/>
      </w:pPr>
      <w:r>
        <w:rPr/>
        <w:t>Mr. Seavey, 53, has been Executive Vice President and Chief Financial Officer of the Company since February</w:t>
      </w:r>
      <w:r>
        <w:rPr>
          <w:spacing w:val="1"/>
        </w:rPr>
        <w:t> </w:t>
      </w:r>
      <w:r>
        <w:rPr/>
        <w:t>2020. He was Executive Vice President, Chief Financial Officer and Treasurer from January 2014 to February</w:t>
      </w:r>
      <w:r>
        <w:rPr>
          <w:spacing w:val="1"/>
        </w:rPr>
        <w:t> </w:t>
      </w:r>
      <w:r>
        <w:rPr/>
        <w:t>2020. Mr. Seavey was Senior Vice President, Chief Financial Officer and Treasurer from October 2012 to January</w:t>
      </w:r>
      <w:r>
        <w:rPr>
          <w:spacing w:val="-53"/>
        </w:rPr>
        <w:t> </w:t>
      </w:r>
      <w:r>
        <w:rPr/>
        <w:t>2014;</w:t>
      </w:r>
      <w:r>
        <w:rPr>
          <w:spacing w:val="-5"/>
        </w:rPr>
        <w:t> </w:t>
      </w:r>
      <w:r>
        <w:rPr/>
        <w:t>Senior</w:t>
      </w:r>
      <w:r>
        <w:rPr>
          <w:spacing w:val="-5"/>
        </w:rPr>
        <w:t> </w:t>
      </w:r>
      <w:r>
        <w:rPr/>
        <w:t>Vice</w:t>
      </w:r>
      <w:r>
        <w:rPr>
          <w:spacing w:val="-5"/>
        </w:rPr>
        <w:t> </w:t>
      </w:r>
      <w:r>
        <w:rPr/>
        <w:t>President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Finance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Treasurer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2012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October</w:t>
      </w:r>
      <w:r>
        <w:rPr>
          <w:spacing w:val="-5"/>
        </w:rPr>
        <w:t> </w:t>
      </w:r>
      <w:r>
        <w:rPr/>
        <w:t>2012;</w:t>
      </w:r>
      <w:r>
        <w:rPr>
          <w:spacing w:val="-5"/>
        </w:rPr>
        <w:t> </w:t>
      </w:r>
      <w:r>
        <w:rPr/>
        <w:t>Senior</w:t>
      </w:r>
      <w:r>
        <w:rPr>
          <w:spacing w:val="-5"/>
        </w:rPr>
        <w:t> </w:t>
      </w:r>
      <w:r>
        <w:rPr/>
        <w:t>Vice</w:t>
      </w:r>
      <w:r>
        <w:rPr>
          <w:spacing w:val="-5"/>
        </w:rPr>
        <w:t> </w:t>
      </w:r>
      <w:r>
        <w:rPr/>
        <w:t>President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Treasurer from December 2011 to May 2012; Vice President of Financial Planning and Treasurer from January</w:t>
      </w:r>
      <w:r>
        <w:rPr>
          <w:spacing w:val="1"/>
        </w:rPr>
        <w:t> </w:t>
      </w:r>
      <w:r>
        <w:rPr/>
        <w:t>2009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December</w:t>
      </w:r>
      <w:r>
        <w:rPr>
          <w:spacing w:val="-5"/>
        </w:rPr>
        <w:t> </w:t>
      </w:r>
      <w:r>
        <w:rPr/>
        <w:t>2011;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Vice</w:t>
      </w:r>
      <w:r>
        <w:rPr>
          <w:spacing w:val="-5"/>
        </w:rPr>
        <w:t> </w:t>
      </w:r>
      <w:r>
        <w:rPr/>
        <w:t>President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Financial</w:t>
      </w:r>
      <w:r>
        <w:rPr>
          <w:spacing w:val="-5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December</w:t>
      </w:r>
      <w:r>
        <w:rPr>
          <w:spacing w:val="-5"/>
        </w:rPr>
        <w:t> </w:t>
      </w:r>
      <w:r>
        <w:rPr/>
        <w:t>2001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January</w:t>
      </w:r>
      <w:r>
        <w:rPr>
          <w:spacing w:val="-5"/>
        </w:rPr>
        <w:t> </w:t>
      </w:r>
      <w:r>
        <w:rPr/>
        <w:t>2009.</w:t>
      </w:r>
      <w:r>
        <w:rPr>
          <w:spacing w:val="-4"/>
        </w:rPr>
        <w:t> </w:t>
      </w:r>
      <w:r>
        <w:rPr/>
        <w:t>Mr.</w:t>
      </w:r>
    </w:p>
    <w:p>
      <w:pPr>
        <w:pStyle w:val="BodyText"/>
        <w:spacing w:before="5"/>
        <w:ind w:left="250"/>
      </w:pPr>
      <w:r>
        <w:rPr/>
        <w:t>Seavey</w:t>
      </w:r>
      <w:r>
        <w:rPr>
          <w:spacing w:val="-5"/>
        </w:rPr>
        <w:t> </w:t>
      </w:r>
      <w:r>
        <w:rPr/>
        <w:t>has</w:t>
      </w:r>
      <w:r>
        <w:rPr>
          <w:spacing w:val="-4"/>
        </w:rPr>
        <w:t> </w:t>
      </w:r>
      <w:r>
        <w:rPr/>
        <w:t>been</w:t>
      </w:r>
      <w:r>
        <w:rPr>
          <w:spacing w:val="-4"/>
        </w:rPr>
        <w:t> </w:t>
      </w:r>
      <w:r>
        <w:rPr/>
        <w:t>employed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4"/>
        </w:rPr>
        <w:t> </w:t>
      </w:r>
      <w:r>
        <w:rPr/>
        <w:t>since</w:t>
      </w:r>
      <w:r>
        <w:rPr>
          <w:spacing w:val="-5"/>
        </w:rPr>
        <w:t> </w:t>
      </w:r>
      <w:r>
        <w:rPr/>
        <w:t>1994.</w:t>
      </w:r>
    </w:p>
    <w:p>
      <w:pPr>
        <w:pStyle w:val="BodyText"/>
        <w:spacing w:before="10"/>
        <w:rPr>
          <w:sz w:val="17"/>
        </w:rPr>
      </w:pPr>
    </w:p>
    <w:p>
      <w:pPr>
        <w:pStyle w:val="Heading3"/>
      </w:pPr>
      <w:r>
        <w:rPr/>
        <w:t>Patrick</w:t>
      </w:r>
      <w:r>
        <w:rPr>
          <w:spacing w:val="-3"/>
        </w:rPr>
        <w:t> </w:t>
      </w:r>
      <w:r>
        <w:rPr/>
        <w:t>Waite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Executive</w:t>
      </w:r>
      <w:r>
        <w:rPr>
          <w:spacing w:val="-3"/>
        </w:rPr>
        <w:t> </w:t>
      </w:r>
      <w:r>
        <w:rPr/>
        <w:t>Vice</w:t>
      </w:r>
      <w:r>
        <w:rPr>
          <w:spacing w:val="-2"/>
        </w:rPr>
        <w:t> </w:t>
      </w:r>
      <w:r>
        <w:rPr/>
        <w:t>President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Chief</w:t>
      </w:r>
      <w:r>
        <w:rPr>
          <w:spacing w:val="-2"/>
        </w:rPr>
        <w:t> </w:t>
      </w:r>
      <w:r>
        <w:rPr/>
        <w:t>Operating</w:t>
      </w:r>
      <w:r>
        <w:rPr>
          <w:spacing w:val="-4"/>
        </w:rPr>
        <w:t> </w:t>
      </w:r>
      <w:r>
        <w:rPr/>
        <w:t>Officer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49" w:lineRule="auto"/>
        <w:ind w:left="250" w:right="376"/>
      </w:pPr>
      <w:r>
        <w:rPr/>
        <w:t>Mr.</w:t>
      </w:r>
      <w:r>
        <w:rPr>
          <w:spacing w:val="-6"/>
        </w:rPr>
        <w:t> </w:t>
      </w:r>
      <w:r>
        <w:rPr/>
        <w:t>Waite,</w:t>
      </w:r>
      <w:r>
        <w:rPr>
          <w:spacing w:val="-6"/>
        </w:rPr>
        <w:t> </w:t>
      </w:r>
      <w:r>
        <w:rPr/>
        <w:t>55,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6"/>
        </w:rPr>
        <w:t> </w:t>
      </w:r>
      <w:r>
        <w:rPr/>
        <w:t>Executive</w:t>
      </w:r>
      <w:r>
        <w:rPr>
          <w:spacing w:val="-5"/>
        </w:rPr>
        <w:t> </w:t>
      </w:r>
      <w:r>
        <w:rPr/>
        <w:t>Vice</w:t>
      </w:r>
      <w:r>
        <w:rPr>
          <w:spacing w:val="-6"/>
        </w:rPr>
        <w:t> </w:t>
      </w:r>
      <w:r>
        <w:rPr/>
        <w:t>President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Chief</w:t>
      </w:r>
      <w:r>
        <w:rPr>
          <w:spacing w:val="-6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Officer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</w:t>
      </w:r>
      <w:r>
        <w:rPr>
          <w:spacing w:val="-6"/>
        </w:rPr>
        <w:t> </w:t>
      </w:r>
      <w:r>
        <w:rPr/>
        <w:t>since</w:t>
      </w:r>
      <w:r>
        <w:rPr>
          <w:spacing w:val="-5"/>
        </w:rPr>
        <w:t> </w:t>
      </w:r>
      <w:r>
        <w:rPr/>
        <w:t>January</w:t>
      </w:r>
      <w:r>
        <w:rPr>
          <w:spacing w:val="-6"/>
        </w:rPr>
        <w:t> </w:t>
      </w:r>
      <w:r>
        <w:rPr/>
        <w:t>2015.</w:t>
      </w:r>
      <w:r>
        <w:rPr>
          <w:spacing w:val="1"/>
        </w:rPr>
        <w:t> </w:t>
      </w:r>
      <w:r>
        <w:rPr/>
        <w:t>He was Executive Vice President - Property Operations from January 2014 to January 2015 and Senior Vice</w:t>
      </w:r>
      <w:r>
        <w:rPr>
          <w:spacing w:val="1"/>
        </w:rPr>
        <w:t> </w:t>
      </w:r>
      <w:r>
        <w:rPr/>
        <w:t>President of Operations from February 2013 to January 2014. Prior to joining the Company, Mr. Waite was senior</w:t>
      </w:r>
      <w:r>
        <w:rPr>
          <w:spacing w:val="1"/>
        </w:rPr>
        <w:t> </w:t>
      </w:r>
      <w:r>
        <w:rPr>
          <w:spacing w:val="-1"/>
        </w:rPr>
        <w:t>vice president </w:t>
      </w:r>
      <w:r>
        <w:rPr/>
        <w:t>of asset management at American Residential Communities, a private operator of manufactured</w:t>
      </w:r>
      <w:r>
        <w:rPr>
          <w:spacing w:val="1"/>
        </w:rPr>
        <w:t> </w:t>
      </w:r>
      <w:r>
        <w:rPr/>
        <w:t>housing communities, from January 2010 through January 2013. He was vice president of Riverside Communities,</w:t>
      </w:r>
      <w:r>
        <w:rPr>
          <w:spacing w:val="-53"/>
        </w:rPr>
        <w:t> </w:t>
      </w:r>
      <w:r>
        <w:rPr>
          <w:spacing w:val="-1"/>
        </w:rPr>
        <w:t>a manufactured home community </w:t>
      </w:r>
      <w:r>
        <w:rPr/>
        <w:t>affiliate of Helix Funds LLC, from August 2004 to January 2010. Mr. Waite co-</w:t>
      </w:r>
      <w:r>
        <w:rPr>
          <w:spacing w:val="1"/>
        </w:rPr>
        <w:t> </w:t>
      </w:r>
      <w:r>
        <w:rPr/>
        <w:t>founded Continental Communities, a private operator of manufactured home communities, and managed its</w:t>
      </w:r>
      <w:r>
        <w:rPr>
          <w:spacing w:val="1"/>
        </w:rPr>
        <w:t> </w:t>
      </w:r>
      <w:r>
        <w:rPr>
          <w:spacing w:val="-1"/>
        </w:rPr>
        <w:t>acquisition program from </w:t>
      </w:r>
      <w:r>
        <w:rPr/>
        <w:t>1997 to 2001. Mr. Waite was the Director of Acquisitions for the Company from 1993 to</w:t>
      </w:r>
      <w:r>
        <w:rPr>
          <w:spacing w:val="1"/>
        </w:rPr>
        <w:t> </w:t>
      </w:r>
      <w:r>
        <w:rPr/>
        <w:t>1997.</w:t>
      </w:r>
    </w:p>
    <w:p>
      <w:pPr>
        <w:pStyle w:val="BodyText"/>
        <w:spacing w:before="7"/>
        <w:rPr>
          <w:sz w:val="17"/>
        </w:rPr>
      </w:pPr>
    </w:p>
    <w:p>
      <w:pPr>
        <w:pStyle w:val="Heading3"/>
      </w:pPr>
      <w:r>
        <w:rPr/>
        <w:t>Roger</w:t>
      </w:r>
      <w:r>
        <w:rPr>
          <w:spacing w:val="-4"/>
        </w:rPr>
        <w:t> </w:t>
      </w:r>
      <w:r>
        <w:rPr/>
        <w:t>Maynard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Executive</w:t>
      </w:r>
      <w:r>
        <w:rPr>
          <w:spacing w:val="-3"/>
        </w:rPr>
        <w:t> </w:t>
      </w:r>
      <w:r>
        <w:rPr/>
        <w:t>Vice</w:t>
      </w:r>
      <w:r>
        <w:rPr>
          <w:spacing w:val="-4"/>
        </w:rPr>
        <w:t> </w:t>
      </w:r>
      <w:r>
        <w:rPr/>
        <w:t>President</w:t>
      </w:r>
      <w:r>
        <w:rPr>
          <w:spacing w:val="-3"/>
        </w:rPr>
        <w:t> </w:t>
      </w:r>
      <w:r>
        <w:rPr/>
        <w:t>-</w:t>
      </w:r>
      <w:r>
        <w:rPr>
          <w:spacing w:val="-3"/>
        </w:rPr>
        <w:t> </w:t>
      </w:r>
      <w:r>
        <w:rPr/>
        <w:t>Investments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49" w:lineRule="auto"/>
        <w:ind w:left="250" w:right="282"/>
      </w:pPr>
      <w:r>
        <w:rPr/>
        <w:t>Mr. Maynard, 64, has been Executive Vice President - Investments of the Company since March 2016 and will</w:t>
      </w:r>
      <w:r>
        <w:rPr>
          <w:spacing w:val="1"/>
        </w:rPr>
        <w:t> </w:t>
      </w:r>
      <w:r>
        <w:rPr/>
        <w:t>continue in this role through his retirement on March 31, 2022.</w:t>
      </w:r>
      <w:r>
        <w:rPr>
          <w:spacing w:val="1"/>
        </w:rPr>
        <w:t> </w:t>
      </w:r>
      <w:r>
        <w:rPr/>
        <w:t>He was Executive Vice President - Asset</w:t>
      </w:r>
      <w:r>
        <w:rPr>
          <w:spacing w:val="1"/>
        </w:rPr>
        <w:t> </w:t>
      </w:r>
      <w:r>
        <w:rPr/>
        <w:t>Management from February 2009 to March 2016. Mr. Maynard was Executive Vice President and Chief Operating</w:t>
      </w:r>
      <w:r>
        <w:rPr>
          <w:spacing w:val="-53"/>
        </w:rPr>
        <w:t> </w:t>
      </w:r>
      <w:r>
        <w:rPr/>
        <w:t>Officer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December</w:t>
      </w:r>
      <w:r>
        <w:rPr>
          <w:spacing w:val="-5"/>
        </w:rPr>
        <w:t> </w:t>
      </w:r>
      <w:r>
        <w:rPr/>
        <w:t>2005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February</w:t>
      </w:r>
      <w:r>
        <w:rPr>
          <w:spacing w:val="-5"/>
        </w:rPr>
        <w:t> </w:t>
      </w:r>
      <w:r>
        <w:rPr/>
        <w:t>2009;</w:t>
      </w:r>
      <w:r>
        <w:rPr>
          <w:spacing w:val="-5"/>
        </w:rPr>
        <w:t> </w:t>
      </w:r>
      <w:r>
        <w:rPr/>
        <w:t>Chief</w:t>
      </w:r>
      <w:r>
        <w:rPr>
          <w:spacing w:val="-5"/>
        </w:rPr>
        <w:t> </w:t>
      </w:r>
      <w:r>
        <w:rPr/>
        <w:t>Operating</w:t>
      </w:r>
      <w:r>
        <w:rPr>
          <w:spacing w:val="-5"/>
        </w:rPr>
        <w:t> </w:t>
      </w:r>
      <w:r>
        <w:rPr/>
        <w:t>Officer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January</w:t>
      </w:r>
      <w:r>
        <w:rPr>
          <w:spacing w:val="-5"/>
        </w:rPr>
        <w:t> </w:t>
      </w:r>
      <w:r>
        <w:rPr/>
        <w:t>2004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December</w:t>
      </w:r>
      <w:r>
        <w:rPr>
          <w:spacing w:val="-5"/>
        </w:rPr>
        <w:t> </w:t>
      </w:r>
      <w:r>
        <w:rPr/>
        <w:t>2005;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Senior Vice President for national operations from January 2003 to December 2003. Mr. Maynard was Senior</w:t>
      </w:r>
      <w:r>
        <w:rPr>
          <w:spacing w:val="1"/>
        </w:rPr>
        <w:t> </w:t>
      </w:r>
      <w:r>
        <w:rPr/>
        <w:t>Regional Vice President for the Company’s Eastern division from September 2001 to December 2002, and Senior</w:t>
      </w:r>
      <w:r>
        <w:rPr>
          <w:spacing w:val="1"/>
        </w:rPr>
        <w:t> </w:t>
      </w:r>
      <w:r>
        <w:rPr/>
        <w:t>Regional</w:t>
      </w:r>
      <w:r>
        <w:rPr>
          <w:spacing w:val="-4"/>
        </w:rPr>
        <w:t> </w:t>
      </w:r>
      <w:r>
        <w:rPr/>
        <w:t>Vice</w:t>
      </w:r>
      <w:r>
        <w:rPr>
          <w:spacing w:val="-4"/>
        </w:rPr>
        <w:t> </w:t>
      </w:r>
      <w:r>
        <w:rPr/>
        <w:t>President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Company's</w:t>
      </w:r>
      <w:r>
        <w:rPr>
          <w:spacing w:val="-4"/>
        </w:rPr>
        <w:t> </w:t>
      </w:r>
      <w:r>
        <w:rPr/>
        <w:t>Southeastern</w:t>
      </w:r>
      <w:r>
        <w:rPr>
          <w:spacing w:val="-4"/>
        </w:rPr>
        <w:t> </w:t>
      </w:r>
      <w:r>
        <w:rPr/>
        <w:t>region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January</w:t>
      </w:r>
      <w:r>
        <w:rPr>
          <w:spacing w:val="-3"/>
        </w:rPr>
        <w:t> </w:t>
      </w:r>
      <w:r>
        <w:rPr/>
        <w:t>2000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September</w:t>
      </w:r>
      <w:r>
        <w:rPr>
          <w:spacing w:val="-4"/>
        </w:rPr>
        <w:t> </w:t>
      </w:r>
      <w:r>
        <w:rPr/>
        <w:t>2001.</w:t>
      </w:r>
      <w:r>
        <w:rPr>
          <w:spacing w:val="-4"/>
        </w:rPr>
        <w:t> </w:t>
      </w:r>
      <w:r>
        <w:rPr/>
        <w:t>Mr.</w:t>
      </w:r>
    </w:p>
    <w:p>
      <w:pPr>
        <w:pStyle w:val="BodyText"/>
        <w:spacing w:line="249" w:lineRule="auto" w:before="6"/>
        <w:ind w:left="250" w:right="282"/>
      </w:pPr>
      <w:r>
        <w:rPr/>
        <w:t>Maynard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Regional</w:t>
      </w:r>
      <w:r>
        <w:rPr>
          <w:spacing w:val="-5"/>
        </w:rPr>
        <w:t> </w:t>
      </w:r>
      <w:r>
        <w:rPr/>
        <w:t>Vice</w:t>
      </w:r>
      <w:r>
        <w:rPr>
          <w:spacing w:val="-5"/>
        </w:rPr>
        <w:t> </w:t>
      </w:r>
      <w:r>
        <w:rPr/>
        <w:t>President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Company's</w:t>
      </w:r>
      <w:r>
        <w:rPr>
          <w:spacing w:val="-4"/>
        </w:rPr>
        <w:t> </w:t>
      </w:r>
      <w:r>
        <w:rPr/>
        <w:t>Southeastern</w:t>
      </w:r>
      <w:r>
        <w:rPr>
          <w:spacing w:val="-5"/>
        </w:rPr>
        <w:t> </w:t>
      </w:r>
      <w:r>
        <w:rPr/>
        <w:t>region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June</w:t>
      </w:r>
      <w:r>
        <w:rPr>
          <w:spacing w:val="-5"/>
        </w:rPr>
        <w:t> </w:t>
      </w:r>
      <w:r>
        <w:rPr/>
        <w:t>1998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December</w:t>
      </w:r>
      <w:r>
        <w:rPr>
          <w:spacing w:val="-4"/>
        </w:rPr>
        <w:t> </w:t>
      </w:r>
      <w:r>
        <w:rPr/>
        <w:t>1999,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Vice</w:t>
      </w:r>
      <w:r>
        <w:rPr>
          <w:spacing w:val="-2"/>
        </w:rPr>
        <w:t> </w:t>
      </w:r>
      <w:r>
        <w:rPr/>
        <w:t>President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Company's</w:t>
      </w:r>
      <w:r>
        <w:rPr>
          <w:spacing w:val="-3"/>
        </w:rPr>
        <w:t> </w:t>
      </w:r>
      <w:r>
        <w:rPr/>
        <w:t>Northeastern</w:t>
      </w:r>
      <w:r>
        <w:rPr>
          <w:spacing w:val="-3"/>
        </w:rPr>
        <w:t> </w:t>
      </w:r>
      <w:r>
        <w:rPr/>
        <w:t>region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October</w:t>
      </w:r>
      <w:r>
        <w:rPr>
          <w:spacing w:val="-3"/>
        </w:rPr>
        <w:t> </w:t>
      </w:r>
      <w:r>
        <w:rPr/>
        <w:t>1997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June</w:t>
      </w:r>
      <w:r>
        <w:rPr>
          <w:spacing w:val="-3"/>
        </w:rPr>
        <w:t> </w:t>
      </w:r>
      <w:r>
        <w:rPr/>
        <w:t>1998.</w:t>
      </w:r>
    </w:p>
    <w:p>
      <w:pPr>
        <w:pStyle w:val="Heading3"/>
        <w:spacing w:before="197"/>
      </w:pPr>
      <w:r>
        <w:rPr/>
        <w:t>David</w:t>
      </w:r>
      <w:r>
        <w:rPr>
          <w:spacing w:val="-5"/>
        </w:rPr>
        <w:t> </w:t>
      </w:r>
      <w:r>
        <w:rPr/>
        <w:t>Eldersveld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Executive</w:t>
      </w:r>
      <w:r>
        <w:rPr>
          <w:spacing w:val="-3"/>
        </w:rPr>
        <w:t> </w:t>
      </w:r>
      <w:r>
        <w:rPr/>
        <w:t>Vice</w:t>
      </w:r>
      <w:r>
        <w:rPr>
          <w:spacing w:val="-3"/>
        </w:rPr>
        <w:t> </w:t>
      </w:r>
      <w:r>
        <w:rPr/>
        <w:t>President,</w:t>
      </w:r>
      <w:r>
        <w:rPr>
          <w:spacing w:val="-4"/>
        </w:rPr>
        <w:t> </w:t>
      </w:r>
      <w:r>
        <w:rPr/>
        <w:t>Chief</w:t>
      </w:r>
      <w:r>
        <w:rPr>
          <w:spacing w:val="-3"/>
        </w:rPr>
        <w:t> </w:t>
      </w:r>
      <w:r>
        <w:rPr/>
        <w:t>Legal</w:t>
      </w:r>
      <w:r>
        <w:rPr>
          <w:spacing w:val="-4"/>
        </w:rPr>
        <w:t> </w:t>
      </w:r>
      <w:r>
        <w:rPr/>
        <w:t>Officer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Secretary</w:t>
      </w:r>
    </w:p>
    <w:p>
      <w:pPr>
        <w:pStyle w:val="BodyText"/>
        <w:spacing w:line="249" w:lineRule="auto" w:before="215"/>
        <w:ind w:left="250" w:right="282"/>
      </w:pPr>
      <w:r>
        <w:rPr/>
        <w:t>Mr.</w:t>
      </w:r>
      <w:r>
        <w:rPr>
          <w:spacing w:val="-6"/>
        </w:rPr>
        <w:t> </w:t>
      </w:r>
      <w:r>
        <w:rPr/>
        <w:t>Eldersveld,</w:t>
      </w:r>
      <w:r>
        <w:rPr>
          <w:spacing w:val="-5"/>
        </w:rPr>
        <w:t> </w:t>
      </w:r>
      <w:r>
        <w:rPr/>
        <w:t>48,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been</w:t>
      </w:r>
      <w:r>
        <w:rPr>
          <w:spacing w:val="-6"/>
        </w:rPr>
        <w:t> </w:t>
      </w:r>
      <w:r>
        <w:rPr/>
        <w:t>Executive</w:t>
      </w:r>
      <w:r>
        <w:rPr>
          <w:spacing w:val="-5"/>
        </w:rPr>
        <w:t> </w:t>
      </w:r>
      <w:r>
        <w:rPr/>
        <w:t>Vice</w:t>
      </w:r>
      <w:r>
        <w:rPr>
          <w:spacing w:val="-6"/>
        </w:rPr>
        <w:t> </w:t>
      </w:r>
      <w:r>
        <w:rPr/>
        <w:t>President,</w:t>
      </w:r>
      <w:r>
        <w:rPr>
          <w:spacing w:val="-5"/>
        </w:rPr>
        <w:t> </w:t>
      </w:r>
      <w:r>
        <w:rPr/>
        <w:t>Chief</w:t>
      </w:r>
      <w:r>
        <w:rPr>
          <w:spacing w:val="-6"/>
        </w:rPr>
        <w:t> </w:t>
      </w:r>
      <w:r>
        <w:rPr/>
        <w:t>Legal</w:t>
      </w:r>
      <w:r>
        <w:rPr>
          <w:spacing w:val="-5"/>
        </w:rPr>
        <w:t> </w:t>
      </w:r>
      <w:r>
        <w:rPr/>
        <w:t>Officer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since</w:t>
      </w:r>
      <w:r>
        <w:rPr>
          <w:spacing w:val="-6"/>
        </w:rPr>
        <w:t> </w:t>
      </w:r>
      <w:r>
        <w:rPr/>
        <w:t>February</w:t>
      </w:r>
      <w:r>
        <w:rPr>
          <w:spacing w:val="-5"/>
        </w:rPr>
        <w:t> </w:t>
      </w:r>
      <w:r>
        <w:rPr/>
        <w:t>2021.</w:t>
      </w:r>
      <w:r>
        <w:rPr>
          <w:spacing w:val="-6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-5"/>
        </w:rPr>
        <w:t> </w:t>
      </w:r>
      <w:r>
        <w:rPr/>
        <w:t>Executive</w:t>
      </w:r>
      <w:r>
        <w:rPr>
          <w:spacing w:val="-4"/>
        </w:rPr>
        <w:t> </w:t>
      </w:r>
      <w:r>
        <w:rPr/>
        <w:t>Vice</w:t>
      </w:r>
      <w:r>
        <w:rPr>
          <w:spacing w:val="-4"/>
        </w:rPr>
        <w:t> </w:t>
      </w:r>
      <w:r>
        <w:rPr/>
        <w:t>President,</w:t>
      </w:r>
      <w:r>
        <w:rPr>
          <w:spacing w:val="-4"/>
        </w:rPr>
        <w:t> </w:t>
      </w:r>
      <w:r>
        <w:rPr/>
        <w:t>General</w:t>
      </w:r>
      <w:r>
        <w:rPr>
          <w:spacing w:val="-4"/>
        </w:rPr>
        <w:t> </w:t>
      </w:r>
      <w:r>
        <w:rPr/>
        <w:t>Counsel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June</w:t>
      </w:r>
      <w:r>
        <w:rPr>
          <w:spacing w:val="-5"/>
        </w:rPr>
        <w:t> </w:t>
      </w:r>
      <w:r>
        <w:rPr/>
        <w:t>2015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February</w:t>
      </w:r>
      <w:r>
        <w:rPr>
          <w:spacing w:val="-4"/>
        </w:rPr>
        <w:t> </w:t>
      </w:r>
      <w:r>
        <w:rPr/>
        <w:t>2021.</w:t>
      </w:r>
      <w:r>
        <w:rPr>
          <w:spacing w:val="-4"/>
        </w:rPr>
        <w:t> </w:t>
      </w:r>
      <w:r>
        <w:rPr/>
        <w:t>Prior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joining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250" w:right="282"/>
      </w:pPr>
      <w:r>
        <w:rPr/>
        <w:t>the</w:t>
      </w:r>
      <w:r>
        <w:rPr>
          <w:spacing w:val="-7"/>
        </w:rPr>
        <w:t> </w:t>
      </w:r>
      <w:r>
        <w:rPr/>
        <w:t>Company,</w:t>
      </w:r>
      <w:r>
        <w:rPr>
          <w:spacing w:val="-7"/>
        </w:rPr>
        <w:t> </w:t>
      </w:r>
      <w:r>
        <w:rPr/>
        <w:t>Mr.</w:t>
      </w:r>
      <w:r>
        <w:rPr>
          <w:spacing w:val="-6"/>
        </w:rPr>
        <w:t> </w:t>
      </w:r>
      <w:r>
        <w:rPr/>
        <w:t>Eldersveld</w:t>
      </w:r>
      <w:r>
        <w:rPr>
          <w:spacing w:val="-7"/>
        </w:rPr>
        <w:t> </w:t>
      </w:r>
      <w:r>
        <w:rPr/>
        <w:t>held</w:t>
      </w:r>
      <w:r>
        <w:rPr>
          <w:spacing w:val="-7"/>
        </w:rPr>
        <w:t> </w:t>
      </w:r>
      <w:r>
        <w:rPr/>
        <w:t>various</w:t>
      </w:r>
      <w:r>
        <w:rPr>
          <w:spacing w:val="-6"/>
        </w:rPr>
        <w:t> </w:t>
      </w:r>
      <w:r>
        <w:rPr/>
        <w:t>senior</w:t>
      </w:r>
      <w:r>
        <w:rPr>
          <w:spacing w:val="-7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positions</w:t>
      </w:r>
      <w:r>
        <w:rPr>
          <w:spacing w:val="-7"/>
        </w:rPr>
        <w:t> </w:t>
      </w:r>
      <w:r>
        <w:rPr/>
        <w:t>at</w:t>
      </w:r>
      <w:r>
        <w:rPr>
          <w:spacing w:val="-9"/>
        </w:rPr>
        <w:t> </w:t>
      </w:r>
      <w:r>
        <w:rPr/>
        <w:t>Tribune</w:t>
      </w:r>
      <w:r>
        <w:rPr>
          <w:spacing w:val="-7"/>
        </w:rPr>
        <w:t> </w:t>
      </w:r>
      <w:r>
        <w:rPr/>
        <w:t>Company</w:t>
      </w:r>
      <w:r>
        <w:rPr>
          <w:spacing w:val="-7"/>
        </w:rPr>
        <w:t> </w:t>
      </w:r>
      <w:r>
        <w:rPr/>
        <w:t>where</w:t>
      </w:r>
      <w:r>
        <w:rPr>
          <w:spacing w:val="-6"/>
        </w:rPr>
        <w:t> </w:t>
      </w:r>
      <w:r>
        <w:rPr/>
        <w:t>he</w:t>
      </w:r>
      <w:r>
        <w:rPr>
          <w:spacing w:val="-7"/>
        </w:rPr>
        <w:t> </w:t>
      </w:r>
      <w:r>
        <w:rPr/>
        <w:t>worked</w:t>
      </w:r>
      <w:r>
        <w:rPr>
          <w:spacing w:val="-7"/>
        </w:rPr>
        <w:t> </w:t>
      </w:r>
      <w:r>
        <w:rPr/>
        <w:t>from</w:t>
      </w:r>
      <w:r>
        <w:rPr>
          <w:spacing w:val="1"/>
        </w:rPr>
        <w:t> </w:t>
      </w:r>
      <w:r>
        <w:rPr/>
        <w:t>2005 through 2013, including serving as executive vice president, general counsel and corporate secretary at</w:t>
      </w:r>
      <w:r>
        <w:rPr>
          <w:spacing w:val="1"/>
        </w:rPr>
        <w:t> </w:t>
      </w:r>
      <w:r>
        <w:rPr/>
        <w:t>Tribune Company from July 2011 to January 2013 and senior vice president, general counsel and corporate</w:t>
      </w:r>
      <w:r>
        <w:rPr>
          <w:spacing w:val="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September</w:t>
      </w:r>
      <w:r>
        <w:rPr>
          <w:spacing w:val="-5"/>
        </w:rPr>
        <w:t> </w:t>
      </w:r>
      <w:r>
        <w:rPr/>
        <w:t>2010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July</w:t>
      </w:r>
      <w:r>
        <w:rPr>
          <w:spacing w:val="-5"/>
        </w:rPr>
        <w:t> </w:t>
      </w:r>
      <w:r>
        <w:rPr/>
        <w:t>2011.</w:t>
      </w:r>
      <w:r>
        <w:rPr>
          <w:spacing w:val="-4"/>
        </w:rPr>
        <w:t> </w:t>
      </w:r>
      <w:r>
        <w:rPr/>
        <w:t>From</w:t>
      </w:r>
      <w:r>
        <w:rPr>
          <w:spacing w:val="-5"/>
        </w:rPr>
        <w:t> </w:t>
      </w:r>
      <w:r>
        <w:rPr/>
        <w:t>1999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2005,</w:t>
      </w:r>
      <w:r>
        <w:rPr>
          <w:spacing w:val="-5"/>
        </w:rPr>
        <w:t> </w:t>
      </w:r>
      <w:r>
        <w:rPr/>
        <w:t>Mr.</w:t>
      </w:r>
      <w:r>
        <w:rPr>
          <w:spacing w:val="-5"/>
        </w:rPr>
        <w:t> </w:t>
      </w:r>
      <w:r>
        <w:rPr/>
        <w:t>Eldersveld</w:t>
      </w:r>
      <w:r>
        <w:rPr>
          <w:spacing w:val="-4"/>
        </w:rPr>
        <w:t> </w:t>
      </w:r>
      <w:r>
        <w:rPr/>
        <w:t>was</w:t>
      </w:r>
      <w:r>
        <w:rPr>
          <w:spacing w:val="-5"/>
        </w:rPr>
        <w:t> </w:t>
      </w:r>
      <w:r>
        <w:rPr/>
        <w:t>an</w:t>
      </w:r>
      <w:r>
        <w:rPr>
          <w:spacing w:val="-5"/>
        </w:rPr>
        <w:t> </w:t>
      </w:r>
      <w:r>
        <w:rPr/>
        <w:t>associate</w:t>
      </w:r>
      <w:r>
        <w:rPr>
          <w:spacing w:val="-5"/>
        </w:rPr>
        <w:t> </w:t>
      </w:r>
      <w:r>
        <w:rPr/>
        <w:t>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law</w:t>
      </w:r>
      <w:r>
        <w:rPr>
          <w:spacing w:val="-5"/>
        </w:rPr>
        <w:t> </w:t>
      </w:r>
      <w:r>
        <w:rPr/>
        <w:t>firm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Sidley Austin LLP in Chicago, Illinois, where his principal </w:t>
      </w:r>
      <w:r>
        <w:rPr/>
        <w:t>practice areas were mergers and acquisitions, securities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corporate</w:t>
      </w:r>
      <w:r>
        <w:rPr>
          <w:spacing w:val="-1"/>
        </w:rPr>
        <w:t> </w:t>
      </w:r>
      <w:r>
        <w:rPr/>
        <w:t>finance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governance.</w:t>
      </w:r>
    </w:p>
    <w:p>
      <w:pPr>
        <w:pStyle w:val="Heading2"/>
        <w:spacing w:before="196"/>
      </w:pPr>
      <w:r>
        <w:rPr>
          <w:color w:val="00539E"/>
        </w:rPr>
        <w:t>Executive</w:t>
      </w:r>
      <w:r>
        <w:rPr>
          <w:color w:val="00539E"/>
          <w:spacing w:val="-4"/>
        </w:rPr>
        <w:t> </w:t>
      </w:r>
      <w:r>
        <w:rPr>
          <w:color w:val="00539E"/>
        </w:rPr>
        <w:t>Summary</w:t>
      </w:r>
    </w:p>
    <w:p>
      <w:pPr>
        <w:pStyle w:val="BodyText"/>
        <w:spacing w:line="249" w:lineRule="auto" w:before="221"/>
        <w:ind w:left="250" w:right="376"/>
      </w:pPr>
      <w:r>
        <w:rPr>
          <w:spacing w:val="-1"/>
        </w:rPr>
        <w:t>The purpose of this Compensation </w:t>
      </w:r>
      <w:r>
        <w:rPr/>
        <w:t>Discussion and Analysis ("CD&amp;A") is to provide stockholders with a description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Company's</w:t>
      </w:r>
      <w:r>
        <w:rPr>
          <w:spacing w:val="-7"/>
        </w:rPr>
        <w:t> </w:t>
      </w:r>
      <w:r>
        <w:rPr/>
        <w:t>executive</w:t>
      </w:r>
      <w:r>
        <w:rPr>
          <w:spacing w:val="-6"/>
        </w:rPr>
        <w:t> </w:t>
      </w:r>
      <w:r>
        <w:rPr/>
        <w:t>compensation</w:t>
      </w:r>
      <w:r>
        <w:rPr>
          <w:spacing w:val="-6"/>
        </w:rPr>
        <w:t> </w:t>
      </w:r>
      <w:r>
        <w:rPr/>
        <w:t>philosophy,</w:t>
      </w:r>
      <w:r>
        <w:rPr>
          <w:spacing w:val="-7"/>
        </w:rPr>
        <w:t> </w:t>
      </w:r>
      <w:r>
        <w:rPr/>
        <w:t>objectives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Company's</w:t>
      </w:r>
      <w:r>
        <w:rPr>
          <w:spacing w:val="-6"/>
        </w:rPr>
        <w:t> </w:t>
      </w:r>
      <w:r>
        <w:rPr/>
        <w:t>compensation</w:t>
      </w:r>
      <w:r>
        <w:rPr>
          <w:spacing w:val="-7"/>
        </w:rPr>
        <w:t> </w:t>
      </w:r>
      <w:r>
        <w:rPr/>
        <w:t>program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</w:t>
      </w:r>
      <w:r>
        <w:rPr>
          <w:spacing w:val="-2"/>
        </w:rPr>
        <w:t> </w:t>
      </w:r>
      <w:r>
        <w:rPr/>
        <w:t>elements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Company's</w:t>
      </w:r>
      <w:r>
        <w:rPr>
          <w:spacing w:val="-1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program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our</w:t>
      </w:r>
      <w:r>
        <w:rPr>
          <w:spacing w:val="-1"/>
        </w:rPr>
        <w:t> </w:t>
      </w:r>
      <w:r>
        <w:rPr/>
        <w:t>NEOs.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9" w:lineRule="auto" w:before="1"/>
        <w:ind w:left="250" w:right="376"/>
      </w:pPr>
      <w:r>
        <w:rPr/>
        <w:t>The Compensation Committee took into account the stockholder advisory vote approving executive compensation</w:t>
      </w:r>
      <w:r>
        <w:rPr>
          <w:spacing w:val="1"/>
        </w:rPr>
        <w:t> </w:t>
      </w:r>
      <w:r>
        <w:rPr/>
        <w:t>at the last annual meeting of stockholders held in April 2021 and incorporated that as one of many factors it</w:t>
      </w:r>
      <w:r>
        <w:rPr>
          <w:spacing w:val="1"/>
        </w:rPr>
        <w:t> </w:t>
      </w:r>
      <w:r>
        <w:rPr/>
        <w:t>considered in connection with the discharge of its responsibilities. 90.4% of all the votes cast at last year's annual</w:t>
      </w:r>
      <w:r>
        <w:rPr>
          <w:spacing w:val="1"/>
        </w:rPr>
        <w:t> </w:t>
      </w:r>
      <w:r>
        <w:rPr/>
        <w:t>meeting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stockholders</w:t>
      </w:r>
      <w:r>
        <w:rPr>
          <w:spacing w:val="-5"/>
        </w:rPr>
        <w:t> </w:t>
      </w:r>
      <w:r>
        <w:rPr/>
        <w:t>approved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program</w:t>
      </w:r>
      <w:r>
        <w:rPr>
          <w:spacing w:val="-4"/>
        </w:rPr>
        <w:t> </w:t>
      </w:r>
      <w:r>
        <w:rPr/>
        <w:t>described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proxy</w:t>
      </w:r>
      <w:r>
        <w:rPr>
          <w:spacing w:val="-5"/>
        </w:rPr>
        <w:t> </w:t>
      </w:r>
      <w:r>
        <w:rPr/>
        <w:t>statement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2021</w:t>
      </w:r>
      <w:r>
        <w:rPr>
          <w:spacing w:val="-5"/>
        </w:rPr>
        <w:t> </w:t>
      </w:r>
      <w:r>
        <w:rPr/>
        <w:t>annual</w:t>
      </w:r>
      <w:r>
        <w:rPr>
          <w:spacing w:val="1"/>
        </w:rPr>
        <w:t> </w:t>
      </w:r>
      <w:r>
        <w:rPr/>
        <w:t>meeting of stockholders.</w:t>
      </w:r>
      <w:r>
        <w:rPr>
          <w:spacing w:val="1"/>
        </w:rPr>
        <w:t> </w:t>
      </w:r>
      <w:r>
        <w:rPr/>
        <w:t>The Compensation Committee believes that this support level demonstrates a strong</w:t>
      </w:r>
      <w:r>
        <w:rPr>
          <w:spacing w:val="1"/>
        </w:rPr>
        <w:t> </w:t>
      </w:r>
      <w:r>
        <w:rPr/>
        <w:t>alignment among our stockholders, the Company's performance, and our executive compensation program and,</w:t>
      </w:r>
      <w:r>
        <w:rPr>
          <w:spacing w:val="1"/>
        </w:rPr>
        <w:t> </w:t>
      </w:r>
      <w:r>
        <w:rPr/>
        <w:t>accordingly, the Compensation Committee did not make any changes to the Company's executive compensation</w:t>
      </w:r>
      <w:r>
        <w:rPr>
          <w:spacing w:val="1"/>
        </w:rPr>
        <w:t> </w:t>
      </w:r>
      <w:r>
        <w:rPr/>
        <w:t>program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2021</w:t>
      </w:r>
      <w:r>
        <w:rPr>
          <w:spacing w:val="-1"/>
        </w:rPr>
        <w:t> </w:t>
      </w:r>
      <w:r>
        <w:rPr/>
        <w:t>"Say-on-Pay"</w:t>
      </w:r>
      <w:r>
        <w:rPr>
          <w:spacing w:val="-1"/>
        </w:rPr>
        <w:t> </w:t>
      </w:r>
      <w:r>
        <w:rPr/>
        <w:t>vote.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spacing w:before="1"/>
        <w:ind w:left="1535" w:right="0" w:firstLine="0"/>
        <w:jc w:val="left"/>
        <w:rPr>
          <w:b/>
          <w:sz w:val="16"/>
        </w:rPr>
      </w:pPr>
      <w:r>
        <w:rPr/>
        <w:pict>
          <v:group style="position:absolute;margin-left:142.25pt;margin-top:-10.414599pt;width:354.75pt;height:31.1pt;mso-position-horizontal-relative:page;mso-position-vertical-relative:paragraph;z-index:15753216" id="docshapegroup48" coordorigin="2845,-208" coordsize="7095,622">
            <v:line style="position:absolute" from="2845,69" to="9940,69" stroked="true" strokeweight=".75pt" strokecolor="#e6e6e6">
              <v:stroke dashstyle="solid"/>
            </v:line>
            <v:shape style="position:absolute;left:3554;top:108;width:5676;height:230" id="docshape49" coordorigin="3554,109" coordsize="5676,230" path="m3554,109l4973,142,6392,339,7811,240,9230,273e" filled="false" stroked="true" strokeweight="1.5pt" strokecolor="#00539d">
              <v:path arrowok="t"/>
              <v:stroke dashstyle="solid"/>
            </v:shape>
            <v:shape style="position:absolute;left:3482;top:38;width:135;height:135" type="#_x0000_t75" id="docshape50" stroked="false">
              <v:imagedata r:id="rId39" o:title=""/>
            </v:shape>
            <v:shape style="position:absolute;left:4892;top:68;width:135;height:135" type="#_x0000_t75" id="docshape51" stroked="false">
              <v:imagedata r:id="rId39" o:title=""/>
            </v:shape>
            <v:shape style="position:absolute;left:6317;top:278;width:135;height:135" type="#_x0000_t75" id="docshape52" stroked="false">
              <v:imagedata r:id="rId39" o:title=""/>
            </v:shape>
            <v:shape style="position:absolute;left:7742;top:173;width:135;height:135" type="#_x0000_t75" id="docshape53" stroked="false">
              <v:imagedata r:id="rId39" o:title=""/>
            </v:shape>
            <v:shape style="position:absolute;left:9152;top:203;width:135;height:135" type="#_x0000_t75" id="docshape54" stroked="false">
              <v:imagedata r:id="rId39" o:title=""/>
            </v:shape>
            <v:shape style="position:absolute;left:3385;top:-209;width:351;height:185" type="#_x0000_t202" id="docshape55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w w:val="105"/>
                        <w:sz w:val="16"/>
                      </w:rPr>
                      <w:t>95%</w:t>
                    </w:r>
                  </w:p>
                </w:txbxContent>
              </v:textbox>
              <w10:wrap type="none"/>
            </v:shape>
            <v:shape style="position:absolute;left:4795;top:-179;width:351;height:185" type="#_x0000_t202" id="docshape56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w w:val="105"/>
                        <w:sz w:val="16"/>
                      </w:rPr>
                      <w:t>94%</w:t>
                    </w:r>
                  </w:p>
                </w:txbxContent>
              </v:textbox>
              <w10:wrap type="none"/>
            </v:shape>
            <v:shape style="position:absolute;left:6220;top:31;width:351;height:185" type="#_x0000_t202" id="docshape57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w w:val="105"/>
                        <w:sz w:val="16"/>
                      </w:rPr>
                      <w:t>88%</w:t>
                    </w:r>
                  </w:p>
                </w:txbxContent>
              </v:textbox>
              <w10:wrap type="none"/>
            </v:shape>
            <v:shape style="position:absolute;left:7645;top:-74;width:351;height:185" type="#_x0000_t202" id="docshape58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w w:val="105"/>
                        <w:sz w:val="16"/>
                      </w:rPr>
                      <w:t>91%</w:t>
                    </w:r>
                  </w:p>
                </w:txbxContent>
              </v:textbox>
              <w10:wrap type="none"/>
            </v:shape>
            <v:shape style="position:absolute;left:9055;top:-44;width:351;height:185" type="#_x0000_t202" id="docshape59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color w:val="585858"/>
                        <w:w w:val="105"/>
                        <w:sz w:val="16"/>
                      </w:rPr>
                      <w:t>90%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585858"/>
          <w:w w:val="105"/>
          <w:sz w:val="16"/>
        </w:rPr>
        <w:t>96%</w:t>
      </w:r>
    </w:p>
    <w:p>
      <w:pPr>
        <w:pStyle w:val="BodyText"/>
        <w:rPr>
          <w:b/>
          <w:sz w:val="21"/>
        </w:rPr>
      </w:pPr>
    </w:p>
    <w:p>
      <w:pPr>
        <w:spacing w:before="99"/>
        <w:ind w:left="1535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752704" from="142.25pt,9.078906pt" to="497pt,9.078906pt" stroked="true" strokeweight=".75pt" strokecolor="#e6e6e6">
            <v:stroke dashstyle="solid"/>
            <w10:wrap type="none"/>
          </v:line>
        </w:pict>
      </w:r>
      <w:r>
        <w:rPr>
          <w:b/>
          <w:color w:val="585858"/>
          <w:w w:val="105"/>
          <w:sz w:val="16"/>
        </w:rPr>
        <w:t>80%</w:t>
      </w:r>
    </w:p>
    <w:p>
      <w:pPr>
        <w:tabs>
          <w:tab w:pos="4039" w:val="left" w:leader="none"/>
          <w:tab w:pos="5464" w:val="left" w:leader="none"/>
          <w:tab w:pos="6874" w:val="left" w:leader="none"/>
          <w:tab w:pos="8299" w:val="left" w:leader="none"/>
        </w:tabs>
        <w:spacing w:before="26"/>
        <w:ind w:left="2630" w:right="0" w:firstLine="0"/>
        <w:jc w:val="left"/>
        <w:rPr>
          <w:b/>
          <w:sz w:val="16"/>
        </w:rPr>
      </w:pPr>
      <w:r>
        <w:rPr>
          <w:b/>
          <w:color w:val="585858"/>
          <w:w w:val="105"/>
          <w:sz w:val="16"/>
        </w:rPr>
        <w:t>2017</w:t>
        <w:tab/>
        <w:t>2018</w:t>
        <w:tab/>
        <w:t>2019</w:t>
        <w:tab/>
        <w:t>2020</w:t>
        <w:tab/>
        <w:t>2021</w:t>
      </w:r>
    </w:p>
    <w:p>
      <w:pPr>
        <w:pStyle w:val="BodyText"/>
        <w:spacing w:before="6"/>
        <w:rPr>
          <w:b/>
          <w:sz w:val="14"/>
        </w:rPr>
      </w:pPr>
    </w:p>
    <w:p>
      <w:pPr>
        <w:spacing w:before="99"/>
        <w:ind w:left="2513" w:right="2708" w:firstLine="0"/>
        <w:jc w:val="center"/>
        <w:rPr>
          <w:sz w:val="16"/>
        </w:rPr>
      </w:pPr>
      <w:r>
        <w:rPr>
          <w:position w:val="-1"/>
        </w:rPr>
        <w:drawing>
          <wp:inline distT="0" distB="0" distL="0" distR="0">
            <wp:extent cx="190500" cy="85725"/>
            <wp:effectExtent l="0" t="0" r="0" b="0"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8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z w:val="20"/>
        </w:rPr>
        <w:t> </w:t>
      </w:r>
      <w:r>
        <w:rPr>
          <w:rFonts w:ascii="Times New Roman"/>
          <w:spacing w:val="-25"/>
          <w:sz w:val="20"/>
        </w:rPr>
        <w:t> </w:t>
      </w:r>
      <w:r>
        <w:rPr>
          <w:color w:val="585858"/>
          <w:sz w:val="16"/>
        </w:rPr>
        <w:t>Say-on-Pay</w:t>
      </w:r>
      <w:r>
        <w:rPr>
          <w:color w:val="585858"/>
          <w:spacing w:val="36"/>
          <w:sz w:val="16"/>
        </w:rPr>
        <w:t> </w:t>
      </w:r>
      <w:r>
        <w:rPr>
          <w:color w:val="585858"/>
          <w:sz w:val="16"/>
        </w:rPr>
        <w:t>Results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49" w:lineRule="auto"/>
        <w:ind w:left="250" w:right="608"/>
      </w:pPr>
      <w:r>
        <w:rPr/>
        <w:t>The core principle of the Company's executive compensation program for 2021 continued to be pay for</w:t>
      </w:r>
      <w:r>
        <w:rPr>
          <w:spacing w:val="1"/>
        </w:rPr>
        <w:t> </w:t>
      </w:r>
      <w:r>
        <w:rPr/>
        <w:t>performance,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framework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executive</w:t>
      </w:r>
      <w:r>
        <w:rPr>
          <w:spacing w:val="-5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program</w:t>
      </w:r>
      <w:r>
        <w:rPr>
          <w:spacing w:val="-6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governance</w:t>
      </w:r>
      <w:r>
        <w:rPr>
          <w:spacing w:val="-5"/>
        </w:rPr>
        <w:t> </w:t>
      </w:r>
      <w:r>
        <w:rPr/>
        <w:t>features</w:t>
      </w:r>
      <w:r>
        <w:rPr>
          <w:spacing w:val="1"/>
        </w:rPr>
        <w:t> </w:t>
      </w:r>
      <w:r>
        <w:rPr/>
        <w:t>discussed</w:t>
      </w:r>
      <w:r>
        <w:rPr>
          <w:spacing w:val="-2"/>
        </w:rPr>
        <w:t> </w:t>
      </w:r>
      <w:r>
        <w:rPr/>
        <w:t>below: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40" w:lineRule="auto" w:before="174" w:after="0"/>
        <w:ind w:left="2775" w:right="0" w:hanging="253"/>
        <w:jc w:val="left"/>
        <w:rPr>
          <w:sz w:val="20"/>
        </w:rPr>
      </w:pPr>
      <w:r>
        <w:rPr/>
        <w:pict>
          <v:shape style="position:absolute;margin-left:49.5pt;margin-top:-.257153pt;width:102pt;height:405pt;mso-position-horizontal-relative:page;mso-position-vertical-relative:paragraph;z-index:15754240" type="#_x0000_t202" id="docshape60" filled="true" fillcolor="#00539e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spacing w:before="142"/>
                    <w:ind w:left="437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What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FFFFFF"/>
                      <w:sz w:val="20"/>
                    </w:rPr>
                    <w:t>We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FFFFFF"/>
                      <w:sz w:val="20"/>
                    </w:rPr>
                    <w:t>Do</w:t>
                  </w:r>
                </w:p>
              </w:txbxContent>
            </v:textbox>
            <v:fill type="solid"/>
            <w10:wrap type="none"/>
          </v:shape>
        </w:pict>
      </w:r>
      <w:r>
        <w:rPr>
          <w:sz w:val="20"/>
        </w:rPr>
        <w:t>The</w:t>
      </w:r>
      <w:r>
        <w:rPr>
          <w:spacing w:val="-6"/>
          <w:sz w:val="20"/>
        </w:rPr>
        <w:t> </w:t>
      </w:r>
      <w:r>
        <w:rPr>
          <w:sz w:val="20"/>
        </w:rPr>
        <w:t>Compensation</w:t>
      </w:r>
      <w:r>
        <w:rPr>
          <w:spacing w:val="-6"/>
          <w:sz w:val="20"/>
        </w:rPr>
        <w:t> </w:t>
      </w:r>
      <w:r>
        <w:rPr>
          <w:sz w:val="20"/>
        </w:rPr>
        <w:t>Committee</w:t>
      </w:r>
      <w:r>
        <w:rPr>
          <w:spacing w:val="-5"/>
          <w:sz w:val="20"/>
        </w:rPr>
        <w:t> </w:t>
      </w:r>
      <w:r>
        <w:rPr>
          <w:sz w:val="20"/>
        </w:rPr>
        <w:t>is</w:t>
      </w:r>
      <w:r>
        <w:rPr>
          <w:spacing w:val="-6"/>
          <w:sz w:val="20"/>
        </w:rPr>
        <w:t> </w:t>
      </w:r>
      <w:r>
        <w:rPr>
          <w:sz w:val="20"/>
        </w:rPr>
        <w:t>comprised</w:t>
      </w:r>
      <w:r>
        <w:rPr>
          <w:spacing w:val="-5"/>
          <w:sz w:val="20"/>
        </w:rPr>
        <w:t> </w:t>
      </w:r>
      <w:r>
        <w:rPr>
          <w:sz w:val="20"/>
        </w:rPr>
        <w:t>solely</w:t>
      </w:r>
      <w:r>
        <w:rPr>
          <w:spacing w:val="-6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independent</w:t>
      </w:r>
      <w:r>
        <w:rPr>
          <w:spacing w:val="-6"/>
          <w:sz w:val="20"/>
        </w:rPr>
        <w:t> </w:t>
      </w:r>
      <w:r>
        <w:rPr>
          <w:sz w:val="20"/>
        </w:rPr>
        <w:t>Directors</w:t>
      </w: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59" w:lineRule="auto" w:before="229" w:after="0"/>
        <w:ind w:left="2882" w:right="911" w:hanging="360"/>
        <w:jc w:val="left"/>
        <w:rPr>
          <w:sz w:val="20"/>
        </w:rPr>
      </w:pP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z w:val="20"/>
        </w:rPr>
        <w:t>engage</w:t>
      </w:r>
      <w:r>
        <w:rPr>
          <w:spacing w:val="-6"/>
          <w:sz w:val="20"/>
        </w:rPr>
        <w:t> </w:t>
      </w:r>
      <w:r>
        <w:rPr>
          <w:sz w:val="20"/>
        </w:rPr>
        <w:t>an</w:t>
      </w:r>
      <w:r>
        <w:rPr>
          <w:spacing w:val="-5"/>
          <w:sz w:val="20"/>
        </w:rPr>
        <w:t> </w:t>
      </w:r>
      <w:r>
        <w:rPr>
          <w:sz w:val="20"/>
        </w:rPr>
        <w:t>independent</w:t>
      </w:r>
      <w:r>
        <w:rPr>
          <w:spacing w:val="-6"/>
          <w:sz w:val="20"/>
        </w:rPr>
        <w:t> </w:t>
      </w:r>
      <w:r>
        <w:rPr>
          <w:sz w:val="20"/>
        </w:rPr>
        <w:t>compensation</w:t>
      </w:r>
      <w:r>
        <w:rPr>
          <w:spacing w:val="-5"/>
          <w:sz w:val="20"/>
        </w:rPr>
        <w:t> </w:t>
      </w:r>
      <w:r>
        <w:rPr>
          <w:sz w:val="20"/>
        </w:rPr>
        <w:t>consultant</w:t>
      </w:r>
      <w:r>
        <w:rPr>
          <w:spacing w:val="-6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advise</w:t>
      </w:r>
      <w:r>
        <w:rPr>
          <w:spacing w:val="-6"/>
          <w:sz w:val="20"/>
        </w:rPr>
        <w:t> </w:t>
      </w:r>
      <w:r>
        <w:rPr>
          <w:sz w:val="20"/>
        </w:rPr>
        <w:t>on</w:t>
      </w:r>
      <w:r>
        <w:rPr>
          <w:spacing w:val="-5"/>
          <w:sz w:val="20"/>
        </w:rPr>
        <w:t> </w:t>
      </w:r>
      <w:r>
        <w:rPr>
          <w:sz w:val="20"/>
        </w:rPr>
        <w:t>compensation</w:t>
      </w:r>
      <w:r>
        <w:rPr>
          <w:spacing w:val="-53"/>
          <w:sz w:val="20"/>
        </w:rPr>
        <w:t> </w:t>
      </w:r>
      <w:r>
        <w:rPr>
          <w:sz w:val="20"/>
        </w:rPr>
        <w:t>matters</w:t>
      </w:r>
      <w:r>
        <w:rPr>
          <w:spacing w:val="-3"/>
          <w:sz w:val="20"/>
        </w:rPr>
        <w:t> </w:t>
      </w:r>
      <w:r>
        <w:rPr>
          <w:sz w:val="20"/>
        </w:rPr>
        <w:t>at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request</w:t>
      </w:r>
      <w:r>
        <w:rPr>
          <w:spacing w:val="-2"/>
          <w:sz w:val="20"/>
        </w:rPr>
        <w:t> </w:t>
      </w:r>
      <w:r>
        <w:rPr>
          <w:sz w:val="20"/>
        </w:rPr>
        <w:t>and</w:t>
      </w:r>
      <w:r>
        <w:rPr>
          <w:spacing w:val="-2"/>
          <w:sz w:val="20"/>
        </w:rPr>
        <w:t> </w:t>
      </w:r>
      <w:r>
        <w:rPr>
          <w:sz w:val="20"/>
        </w:rPr>
        <w:t>direction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Compensation</w:t>
      </w:r>
      <w:r>
        <w:rPr>
          <w:spacing w:val="-3"/>
          <w:sz w:val="20"/>
        </w:rPr>
        <w:t> </w:t>
      </w:r>
      <w:r>
        <w:rPr>
          <w:sz w:val="20"/>
        </w:rPr>
        <w:t>Committee</w:t>
      </w: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59" w:lineRule="auto" w:before="192" w:after="0"/>
        <w:ind w:left="2882" w:right="553" w:hanging="360"/>
        <w:jc w:val="left"/>
        <w:rPr>
          <w:sz w:val="20"/>
        </w:rPr>
      </w:pPr>
      <w:r>
        <w:rPr>
          <w:sz w:val="20"/>
        </w:rPr>
        <w:t>Do</w:t>
      </w:r>
      <w:r>
        <w:rPr>
          <w:spacing w:val="-5"/>
          <w:sz w:val="20"/>
        </w:rPr>
        <w:t> </w:t>
      </w:r>
      <w:r>
        <w:rPr>
          <w:sz w:val="20"/>
        </w:rPr>
        <w:t>an</w:t>
      </w:r>
      <w:r>
        <w:rPr>
          <w:spacing w:val="-4"/>
          <w:sz w:val="20"/>
        </w:rPr>
        <w:t> </w:t>
      </w:r>
      <w:r>
        <w:rPr>
          <w:sz w:val="20"/>
        </w:rPr>
        <w:t>annual</w:t>
      </w:r>
      <w:r>
        <w:rPr>
          <w:spacing w:val="-5"/>
          <w:sz w:val="20"/>
        </w:rPr>
        <w:t> </w:t>
      </w:r>
      <w:r>
        <w:rPr>
          <w:sz w:val="20"/>
        </w:rPr>
        <w:t>review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Company's</w:t>
      </w:r>
      <w:r>
        <w:rPr>
          <w:spacing w:val="-4"/>
          <w:sz w:val="20"/>
        </w:rPr>
        <w:t> </w:t>
      </w:r>
      <w:r>
        <w:rPr>
          <w:sz w:val="20"/>
        </w:rPr>
        <w:t>compensation</w:t>
      </w:r>
      <w:r>
        <w:rPr>
          <w:spacing w:val="-5"/>
          <w:sz w:val="20"/>
        </w:rPr>
        <w:t> </w:t>
      </w:r>
      <w:r>
        <w:rPr>
          <w:sz w:val="20"/>
        </w:rPr>
        <w:t>strategy</w:t>
      </w:r>
      <w:r>
        <w:rPr>
          <w:spacing w:val="-4"/>
          <w:sz w:val="20"/>
        </w:rPr>
        <w:t> </w:t>
      </w:r>
      <w:r>
        <w:rPr>
          <w:sz w:val="20"/>
        </w:rPr>
        <w:t>that</w:t>
      </w:r>
      <w:r>
        <w:rPr>
          <w:spacing w:val="-4"/>
          <w:sz w:val="20"/>
        </w:rPr>
        <w:t> </w:t>
      </w:r>
      <w:r>
        <w:rPr>
          <w:sz w:val="20"/>
        </w:rPr>
        <w:t>includes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4"/>
          <w:sz w:val="20"/>
        </w:rPr>
        <w:t> </w:t>
      </w:r>
      <w:r>
        <w:rPr>
          <w:sz w:val="20"/>
        </w:rPr>
        <w:t>review</w:t>
      </w:r>
      <w:r>
        <w:rPr>
          <w:spacing w:val="-5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compensation-related</w:t>
      </w:r>
      <w:r>
        <w:rPr>
          <w:spacing w:val="-1"/>
          <w:sz w:val="20"/>
        </w:rPr>
        <w:t> </w:t>
      </w:r>
      <w:r>
        <w:rPr>
          <w:sz w:val="20"/>
        </w:rPr>
        <w:t>risk</w:t>
      </w:r>
      <w:r>
        <w:rPr>
          <w:spacing w:val="-1"/>
          <w:sz w:val="20"/>
        </w:rPr>
        <w:t> </w:t>
      </w:r>
      <w:r>
        <w:rPr>
          <w:sz w:val="20"/>
        </w:rPr>
        <w:t>management</w:t>
      </w: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54" w:lineRule="auto" w:before="192" w:after="0"/>
        <w:ind w:left="2882" w:right="739" w:hanging="360"/>
        <w:jc w:val="left"/>
        <w:rPr>
          <w:sz w:val="20"/>
        </w:rPr>
      </w:pPr>
      <w:r>
        <w:rPr>
          <w:sz w:val="20"/>
        </w:rPr>
        <w:t>Do have a strong pay for performance compensation philosophy with 61% of the</w:t>
      </w:r>
      <w:r>
        <w:rPr>
          <w:spacing w:val="1"/>
          <w:sz w:val="20"/>
        </w:rPr>
        <w:t> </w:t>
      </w:r>
      <w:r>
        <w:rPr>
          <w:sz w:val="20"/>
        </w:rPr>
        <w:t>NEOs</w:t>
      </w:r>
      <w:r>
        <w:rPr>
          <w:spacing w:val="-5"/>
          <w:sz w:val="20"/>
        </w:rPr>
        <w:t> </w:t>
      </w:r>
      <w:r>
        <w:rPr>
          <w:sz w:val="20"/>
        </w:rPr>
        <w:t>pay</w:t>
      </w:r>
      <w:r>
        <w:rPr>
          <w:spacing w:val="-5"/>
          <w:sz w:val="20"/>
        </w:rPr>
        <w:t> </w:t>
      </w:r>
      <w:r>
        <w:rPr>
          <w:sz w:val="20"/>
        </w:rPr>
        <w:t>tied</w:t>
      </w:r>
      <w:r>
        <w:rPr>
          <w:spacing w:val="-5"/>
          <w:sz w:val="20"/>
        </w:rPr>
        <w:t> </w:t>
      </w:r>
      <w:r>
        <w:rPr>
          <w:sz w:val="20"/>
        </w:rPr>
        <w:t>solely</w:t>
      </w:r>
      <w:r>
        <w:rPr>
          <w:spacing w:val="-5"/>
          <w:sz w:val="20"/>
        </w:rPr>
        <w:t> </w:t>
      </w:r>
      <w:r>
        <w:rPr>
          <w:sz w:val="20"/>
        </w:rPr>
        <w:t>to</w:t>
      </w:r>
      <w:r>
        <w:rPr>
          <w:spacing w:val="-5"/>
          <w:sz w:val="20"/>
        </w:rPr>
        <w:t> </w:t>
      </w:r>
      <w:r>
        <w:rPr>
          <w:sz w:val="20"/>
        </w:rPr>
        <w:t>performance;</w:t>
      </w:r>
      <w:r>
        <w:rPr>
          <w:spacing w:val="-5"/>
          <w:sz w:val="20"/>
        </w:rPr>
        <w:t> </w:t>
      </w:r>
      <w:r>
        <w:rPr>
          <w:sz w:val="20"/>
        </w:rPr>
        <w:t>therefore</w:t>
      </w:r>
      <w:r>
        <w:rPr>
          <w:spacing w:val="-5"/>
          <w:sz w:val="20"/>
        </w:rPr>
        <w:t> </w:t>
      </w:r>
      <w:r>
        <w:rPr>
          <w:sz w:val="20"/>
        </w:rPr>
        <w:t>aligning</w:t>
      </w:r>
      <w:r>
        <w:rPr>
          <w:spacing w:val="-5"/>
          <w:sz w:val="20"/>
        </w:rPr>
        <w:t> </w:t>
      </w:r>
      <w:r>
        <w:rPr>
          <w:sz w:val="20"/>
        </w:rPr>
        <w:t>the</w:t>
      </w:r>
      <w:r>
        <w:rPr>
          <w:spacing w:val="-5"/>
          <w:sz w:val="20"/>
        </w:rPr>
        <w:t> </w:t>
      </w:r>
      <w:r>
        <w:rPr>
          <w:sz w:val="20"/>
        </w:rPr>
        <w:t>long-term</w:t>
      </w:r>
      <w:r>
        <w:rPr>
          <w:spacing w:val="-5"/>
          <w:sz w:val="20"/>
        </w:rPr>
        <w:t> </w:t>
      </w:r>
      <w:r>
        <w:rPr>
          <w:sz w:val="20"/>
        </w:rPr>
        <w:t>interests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3"/>
          <w:sz w:val="20"/>
        </w:rPr>
        <w:t> </w:t>
      </w:r>
      <w:r>
        <w:rPr>
          <w:sz w:val="20"/>
        </w:rPr>
        <w:t>our</w:t>
      </w:r>
      <w:r>
        <w:rPr>
          <w:spacing w:val="-2"/>
          <w:sz w:val="20"/>
        </w:rPr>
        <w:t> </w:t>
      </w:r>
      <w:r>
        <w:rPr>
          <w:sz w:val="20"/>
        </w:rPr>
        <w:t>NEOs</w:t>
      </w:r>
      <w:r>
        <w:rPr>
          <w:spacing w:val="-1"/>
          <w:sz w:val="20"/>
        </w:rPr>
        <w:t> </w:t>
      </w:r>
      <w:r>
        <w:rPr>
          <w:sz w:val="20"/>
        </w:rPr>
        <w:t>with</w:t>
      </w:r>
      <w:r>
        <w:rPr>
          <w:spacing w:val="-1"/>
          <w:sz w:val="20"/>
        </w:rPr>
        <w:t> </w:t>
      </w:r>
      <w:r>
        <w:rPr>
          <w:sz w:val="20"/>
        </w:rPr>
        <w:t>our</w:t>
      </w:r>
      <w:r>
        <w:rPr>
          <w:spacing w:val="-1"/>
          <w:sz w:val="20"/>
        </w:rPr>
        <w:t> </w:t>
      </w:r>
      <w:r>
        <w:rPr>
          <w:sz w:val="20"/>
        </w:rPr>
        <w:t>stockholders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59" w:lineRule="auto" w:before="0" w:after="0"/>
        <w:ind w:left="2882" w:right="671" w:hanging="360"/>
        <w:jc w:val="left"/>
        <w:rPr>
          <w:sz w:val="20"/>
        </w:rPr>
      </w:pPr>
      <w:r>
        <w:rPr>
          <w:sz w:val="20"/>
        </w:rPr>
        <w:t>Do enhance executive retention with time-based, multi-year vesting schedules for</w:t>
      </w:r>
      <w:r>
        <w:rPr>
          <w:spacing w:val="1"/>
          <w:sz w:val="20"/>
        </w:rPr>
        <w:t> </w:t>
      </w:r>
      <w:r>
        <w:rPr>
          <w:sz w:val="20"/>
        </w:rPr>
        <w:t>equity</w:t>
      </w:r>
      <w:r>
        <w:rPr>
          <w:spacing w:val="-6"/>
          <w:sz w:val="20"/>
        </w:rPr>
        <w:t> </w:t>
      </w:r>
      <w:r>
        <w:rPr>
          <w:sz w:val="20"/>
        </w:rPr>
        <w:t>incentive</w:t>
      </w:r>
      <w:r>
        <w:rPr>
          <w:spacing w:val="-5"/>
          <w:sz w:val="20"/>
        </w:rPr>
        <w:t> </w:t>
      </w:r>
      <w:r>
        <w:rPr>
          <w:sz w:val="20"/>
        </w:rPr>
        <w:t>awards,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comprise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large</w:t>
      </w:r>
      <w:r>
        <w:rPr>
          <w:spacing w:val="-5"/>
          <w:sz w:val="20"/>
        </w:rPr>
        <w:t> </w:t>
      </w:r>
      <w:r>
        <w:rPr>
          <w:sz w:val="20"/>
        </w:rPr>
        <w:t>percentage</w:t>
      </w:r>
      <w:r>
        <w:rPr>
          <w:spacing w:val="-5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total</w:t>
      </w:r>
      <w:r>
        <w:rPr>
          <w:spacing w:val="-5"/>
          <w:sz w:val="20"/>
        </w:rPr>
        <w:t> </w:t>
      </w:r>
      <w:r>
        <w:rPr>
          <w:sz w:val="20"/>
        </w:rPr>
        <w:t>compensation</w:t>
      </w: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40" w:lineRule="auto" w:before="192" w:after="0"/>
        <w:ind w:left="2775" w:right="0" w:hanging="253"/>
        <w:jc w:val="left"/>
        <w:rPr>
          <w:sz w:val="20"/>
        </w:rPr>
      </w:pP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z w:val="20"/>
        </w:rPr>
        <w:t>have</w:t>
      </w:r>
      <w:r>
        <w:rPr>
          <w:spacing w:val="-5"/>
          <w:sz w:val="20"/>
        </w:rPr>
        <w:t> </w:t>
      </w:r>
      <w:r>
        <w:rPr>
          <w:sz w:val="20"/>
        </w:rPr>
        <w:t>performance-based</w:t>
      </w:r>
      <w:r>
        <w:rPr>
          <w:spacing w:val="-5"/>
          <w:sz w:val="20"/>
        </w:rPr>
        <w:t> </w:t>
      </w:r>
      <w:r>
        <w:rPr>
          <w:sz w:val="20"/>
        </w:rPr>
        <w:t>cash</w:t>
      </w:r>
      <w:r>
        <w:rPr>
          <w:spacing w:val="-5"/>
          <w:sz w:val="20"/>
        </w:rPr>
        <w:t> </w:t>
      </w:r>
      <w:r>
        <w:rPr>
          <w:sz w:val="20"/>
        </w:rPr>
        <w:t>bonus</w:t>
      </w:r>
      <w:r>
        <w:rPr>
          <w:spacing w:val="-5"/>
          <w:sz w:val="20"/>
        </w:rPr>
        <w:t> </w:t>
      </w:r>
      <w:r>
        <w:rPr>
          <w:sz w:val="20"/>
        </w:rPr>
        <w:t>compensation</w:t>
      </w: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40" w:lineRule="auto" w:before="229" w:after="0"/>
        <w:ind w:left="2775" w:right="0" w:hanging="253"/>
        <w:jc w:val="left"/>
        <w:rPr>
          <w:sz w:val="20"/>
        </w:rPr>
      </w:pP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z w:val="20"/>
        </w:rPr>
        <w:t>have</w:t>
      </w:r>
      <w:r>
        <w:rPr>
          <w:spacing w:val="-5"/>
          <w:sz w:val="20"/>
        </w:rPr>
        <w:t> </w:t>
      </w:r>
      <w:r>
        <w:rPr>
          <w:sz w:val="20"/>
        </w:rPr>
        <w:t>meaningful</w:t>
      </w:r>
      <w:r>
        <w:rPr>
          <w:spacing w:val="-6"/>
          <w:sz w:val="20"/>
        </w:rPr>
        <w:t> </w:t>
      </w:r>
      <w:r>
        <w:rPr>
          <w:sz w:val="20"/>
        </w:rPr>
        <w:t>share</w:t>
      </w:r>
      <w:r>
        <w:rPr>
          <w:spacing w:val="-5"/>
          <w:sz w:val="20"/>
        </w:rPr>
        <w:t> </w:t>
      </w:r>
      <w:r>
        <w:rPr>
          <w:sz w:val="20"/>
        </w:rPr>
        <w:t>ownership</w:t>
      </w:r>
      <w:r>
        <w:rPr>
          <w:spacing w:val="-6"/>
          <w:sz w:val="20"/>
        </w:rPr>
        <w:t> </w:t>
      </w:r>
      <w:r>
        <w:rPr>
          <w:sz w:val="20"/>
        </w:rPr>
        <w:t>guidelines</w:t>
      </w:r>
      <w:r>
        <w:rPr>
          <w:spacing w:val="-5"/>
          <w:sz w:val="20"/>
        </w:rPr>
        <w:t> </w:t>
      </w:r>
      <w:r>
        <w:rPr>
          <w:sz w:val="20"/>
        </w:rPr>
        <w:t>for</w:t>
      </w:r>
      <w:r>
        <w:rPr>
          <w:spacing w:val="-6"/>
          <w:sz w:val="20"/>
        </w:rPr>
        <w:t> </w:t>
      </w:r>
      <w:r>
        <w:rPr>
          <w:sz w:val="20"/>
        </w:rPr>
        <w:t>our</w:t>
      </w:r>
      <w:r>
        <w:rPr>
          <w:spacing w:val="-5"/>
          <w:sz w:val="20"/>
        </w:rPr>
        <w:t> </w:t>
      </w:r>
      <w:r>
        <w:rPr>
          <w:sz w:val="20"/>
        </w:rPr>
        <w:t>executives</w:t>
      </w:r>
      <w:r>
        <w:rPr>
          <w:spacing w:val="-6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directors</w:t>
      </w: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54" w:lineRule="auto" w:before="229" w:after="0"/>
        <w:ind w:left="2882" w:right="560" w:hanging="360"/>
        <w:jc w:val="left"/>
        <w:rPr>
          <w:sz w:val="20"/>
        </w:rPr>
      </w:pPr>
      <w:r>
        <w:rPr>
          <w:sz w:val="20"/>
        </w:rPr>
        <w:t>Do have a Hedging Policy that prohibits our directors and officers from engaging in</w:t>
      </w:r>
      <w:r>
        <w:rPr>
          <w:spacing w:val="1"/>
          <w:sz w:val="20"/>
        </w:rPr>
        <w:t> </w:t>
      </w:r>
      <w:r>
        <w:rPr>
          <w:sz w:val="20"/>
        </w:rPr>
        <w:t>short</w:t>
      </w:r>
      <w:r>
        <w:rPr>
          <w:spacing w:val="-5"/>
          <w:sz w:val="20"/>
        </w:rPr>
        <w:t> </w:t>
      </w:r>
      <w:r>
        <w:rPr>
          <w:sz w:val="20"/>
        </w:rPr>
        <w:t>sales</w:t>
      </w:r>
      <w:r>
        <w:rPr>
          <w:spacing w:val="-5"/>
          <w:sz w:val="20"/>
        </w:rPr>
        <w:t> </w:t>
      </w:r>
      <w:r>
        <w:rPr>
          <w:sz w:val="20"/>
        </w:rPr>
        <w:t>(including</w:t>
      </w:r>
      <w:r>
        <w:rPr>
          <w:spacing w:val="-5"/>
          <w:sz w:val="20"/>
        </w:rPr>
        <w:t> </w:t>
      </w:r>
      <w:r>
        <w:rPr>
          <w:sz w:val="20"/>
        </w:rPr>
        <w:t>buying</w:t>
      </w:r>
      <w:r>
        <w:rPr>
          <w:spacing w:val="-4"/>
          <w:sz w:val="20"/>
        </w:rPr>
        <w:t> </w:t>
      </w:r>
      <w:r>
        <w:rPr>
          <w:sz w:val="20"/>
        </w:rPr>
        <w:t>puts</w:t>
      </w:r>
      <w:r>
        <w:rPr>
          <w:spacing w:val="-5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selling</w:t>
      </w:r>
      <w:r>
        <w:rPr>
          <w:spacing w:val="-5"/>
          <w:sz w:val="20"/>
        </w:rPr>
        <w:t> </w:t>
      </w:r>
      <w:r>
        <w:rPr>
          <w:sz w:val="20"/>
        </w:rPr>
        <w:t>calls)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5"/>
          <w:sz w:val="20"/>
        </w:rPr>
        <w:t> </w:t>
      </w:r>
      <w:r>
        <w:rPr>
          <w:sz w:val="20"/>
        </w:rPr>
        <w:t>any</w:t>
      </w:r>
      <w:r>
        <w:rPr>
          <w:spacing w:val="-5"/>
          <w:sz w:val="20"/>
        </w:rPr>
        <w:t> </w:t>
      </w:r>
      <w:r>
        <w:rPr>
          <w:sz w:val="20"/>
        </w:rPr>
        <w:t>other</w:t>
      </w:r>
      <w:r>
        <w:rPr>
          <w:spacing w:val="-5"/>
          <w:sz w:val="20"/>
        </w:rPr>
        <w:t> </w:t>
      </w:r>
      <w:r>
        <w:rPr>
          <w:sz w:val="20"/>
        </w:rPr>
        <w:t>hedging</w:t>
      </w:r>
      <w:r>
        <w:rPr>
          <w:spacing w:val="-4"/>
          <w:sz w:val="20"/>
        </w:rPr>
        <w:t> </w:t>
      </w:r>
      <w:r>
        <w:rPr>
          <w:sz w:val="20"/>
        </w:rPr>
        <w:t>transactions</w:t>
      </w:r>
      <w:r>
        <w:rPr>
          <w:spacing w:val="-53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respect</w:t>
      </w:r>
      <w:r>
        <w:rPr>
          <w:spacing w:val="-2"/>
          <w:sz w:val="20"/>
        </w:rPr>
        <w:t> </w:t>
      </w:r>
      <w:r>
        <w:rPr>
          <w:sz w:val="20"/>
        </w:rPr>
        <w:t>to</w:t>
      </w:r>
      <w:r>
        <w:rPr>
          <w:spacing w:val="-2"/>
          <w:sz w:val="20"/>
        </w:rPr>
        <w:t> </w:t>
      </w:r>
      <w:r>
        <w:rPr>
          <w:sz w:val="20"/>
        </w:rPr>
        <w:t>any</w:t>
      </w:r>
      <w:r>
        <w:rPr>
          <w:spacing w:val="-2"/>
          <w:sz w:val="20"/>
        </w:rPr>
        <w:t> </w:t>
      </w:r>
      <w:r>
        <w:rPr>
          <w:sz w:val="20"/>
        </w:rPr>
        <w:t>equity</w:t>
      </w:r>
      <w:r>
        <w:rPr>
          <w:spacing w:val="-2"/>
          <w:sz w:val="20"/>
        </w:rPr>
        <w:t> </w:t>
      </w:r>
      <w:r>
        <w:rPr>
          <w:sz w:val="20"/>
        </w:rPr>
        <w:t>securities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the</w:t>
      </w:r>
      <w:r>
        <w:rPr>
          <w:spacing w:val="-2"/>
          <w:sz w:val="20"/>
        </w:rPr>
        <w:t> </w:t>
      </w:r>
      <w:r>
        <w:rPr>
          <w:sz w:val="20"/>
        </w:rPr>
        <w:t>Company</w:t>
      </w:r>
      <w:r>
        <w:rPr>
          <w:spacing w:val="-1"/>
          <w:sz w:val="20"/>
        </w:rPr>
        <w:t> </w:t>
      </w:r>
      <w:r>
        <w:rPr>
          <w:sz w:val="20"/>
        </w:rPr>
        <w:t>held</w:t>
      </w:r>
      <w:r>
        <w:rPr>
          <w:spacing w:val="-2"/>
          <w:sz w:val="20"/>
        </w:rPr>
        <w:t> </w:t>
      </w:r>
      <w:r>
        <w:rPr>
          <w:sz w:val="20"/>
        </w:rPr>
        <w:t>by</w:t>
      </w:r>
      <w:r>
        <w:rPr>
          <w:spacing w:val="-2"/>
          <w:sz w:val="20"/>
        </w:rPr>
        <w:t> </w:t>
      </w:r>
      <w:r>
        <w:rPr>
          <w:sz w:val="20"/>
        </w:rPr>
        <w:t>them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54" w:lineRule="auto" w:before="1" w:after="0"/>
        <w:ind w:left="2882" w:right="543" w:hanging="360"/>
        <w:jc w:val="left"/>
        <w:rPr>
          <w:sz w:val="20"/>
        </w:rPr>
      </w:pPr>
      <w:r>
        <w:rPr>
          <w:spacing w:val="-1"/>
          <w:sz w:val="20"/>
        </w:rPr>
        <w:t>Do have a Securities </w:t>
      </w:r>
      <w:r>
        <w:rPr>
          <w:sz w:val="20"/>
        </w:rPr>
        <w:t>Pledging Policy that requires Audit Committee approval of any</w:t>
      </w:r>
      <w:r>
        <w:rPr>
          <w:spacing w:val="1"/>
          <w:sz w:val="20"/>
        </w:rPr>
        <w:t> </w:t>
      </w:r>
      <w:r>
        <w:rPr>
          <w:sz w:val="20"/>
        </w:rPr>
        <w:t>pledging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4"/>
          <w:sz w:val="20"/>
        </w:rPr>
        <w:t> </w:t>
      </w:r>
      <w:r>
        <w:rPr>
          <w:sz w:val="20"/>
        </w:rPr>
        <w:t>our</w:t>
      </w:r>
      <w:r>
        <w:rPr>
          <w:spacing w:val="-3"/>
          <w:sz w:val="20"/>
        </w:rPr>
        <w:t> </w:t>
      </w:r>
      <w:r>
        <w:rPr>
          <w:sz w:val="20"/>
        </w:rPr>
        <w:t>shares</w:t>
      </w:r>
      <w:r>
        <w:rPr>
          <w:spacing w:val="-4"/>
          <w:sz w:val="20"/>
        </w:rPr>
        <w:t> </w:t>
      </w:r>
      <w:r>
        <w:rPr>
          <w:sz w:val="20"/>
        </w:rPr>
        <w:t>of</w:t>
      </w:r>
      <w:r>
        <w:rPr>
          <w:spacing w:val="-3"/>
          <w:sz w:val="20"/>
        </w:rPr>
        <w:t> </w:t>
      </w:r>
      <w:r>
        <w:rPr>
          <w:sz w:val="20"/>
        </w:rPr>
        <w:t>Common</w:t>
      </w:r>
      <w:r>
        <w:rPr>
          <w:spacing w:val="-4"/>
          <w:sz w:val="20"/>
        </w:rPr>
        <w:t> </w:t>
      </w:r>
      <w:r>
        <w:rPr>
          <w:sz w:val="20"/>
        </w:rPr>
        <w:t>Stock</w:t>
      </w:r>
      <w:r>
        <w:rPr>
          <w:spacing w:val="-3"/>
          <w:sz w:val="20"/>
        </w:rPr>
        <w:t> </w:t>
      </w:r>
      <w:r>
        <w:rPr>
          <w:sz w:val="20"/>
        </w:rPr>
        <w:t>or</w:t>
      </w:r>
      <w:r>
        <w:rPr>
          <w:spacing w:val="-4"/>
          <w:sz w:val="20"/>
        </w:rPr>
        <w:t> </w:t>
      </w:r>
      <w:r>
        <w:rPr>
          <w:sz w:val="20"/>
        </w:rPr>
        <w:t>OP</w:t>
      </w:r>
      <w:r>
        <w:rPr>
          <w:spacing w:val="-6"/>
          <w:sz w:val="20"/>
        </w:rPr>
        <w:t> </w:t>
      </w:r>
      <w:r>
        <w:rPr>
          <w:sz w:val="20"/>
        </w:rPr>
        <w:t>Units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3"/>
          <w:sz w:val="20"/>
        </w:rPr>
        <w:t> </w:t>
      </w:r>
      <w:r>
        <w:rPr>
          <w:sz w:val="20"/>
        </w:rPr>
        <w:t>Directors</w:t>
      </w:r>
      <w:r>
        <w:rPr>
          <w:spacing w:val="-4"/>
          <w:sz w:val="20"/>
        </w:rPr>
        <w:t> </w:t>
      </w:r>
      <w:r>
        <w:rPr>
          <w:sz w:val="20"/>
        </w:rPr>
        <w:t>or</w:t>
      </w:r>
      <w:r>
        <w:rPr>
          <w:spacing w:val="-3"/>
          <w:sz w:val="20"/>
        </w:rPr>
        <w:t> </w:t>
      </w:r>
      <w:r>
        <w:rPr>
          <w:sz w:val="20"/>
        </w:rPr>
        <w:t>NEOs</w:t>
      </w:r>
      <w:r>
        <w:rPr>
          <w:spacing w:val="-4"/>
          <w:sz w:val="20"/>
        </w:rPr>
        <w:t> </w:t>
      </w:r>
      <w:r>
        <w:rPr>
          <w:sz w:val="20"/>
        </w:rPr>
        <w:t>and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53"/>
          <w:sz w:val="20"/>
        </w:rPr>
        <w:t> </w:t>
      </w:r>
      <w:r>
        <w:rPr>
          <w:sz w:val="20"/>
        </w:rPr>
        <w:t>satisfaction</w:t>
      </w:r>
      <w:r>
        <w:rPr>
          <w:spacing w:val="-2"/>
          <w:sz w:val="20"/>
        </w:rPr>
        <w:t> </w:t>
      </w:r>
      <w:r>
        <w:rPr>
          <w:sz w:val="20"/>
        </w:rPr>
        <w:t>of</w:t>
      </w:r>
      <w:r>
        <w:rPr>
          <w:spacing w:val="-1"/>
          <w:sz w:val="20"/>
        </w:rPr>
        <w:t> </w:t>
      </w:r>
      <w:r>
        <w:rPr>
          <w:sz w:val="20"/>
        </w:rPr>
        <w:t>certain</w:t>
      </w:r>
      <w:r>
        <w:rPr>
          <w:spacing w:val="-1"/>
          <w:sz w:val="20"/>
        </w:rPr>
        <w:t> </w:t>
      </w:r>
      <w:r>
        <w:rPr>
          <w:sz w:val="20"/>
        </w:rPr>
        <w:t>other</w:t>
      </w:r>
      <w:r>
        <w:rPr>
          <w:spacing w:val="-2"/>
          <w:sz w:val="20"/>
        </w:rPr>
        <w:t> </w:t>
      </w:r>
      <w:r>
        <w:rPr>
          <w:sz w:val="20"/>
        </w:rPr>
        <w:t>conditions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0"/>
          <w:numId w:val="16"/>
        </w:numPr>
        <w:tabs>
          <w:tab w:pos="2775" w:val="left" w:leader="none"/>
        </w:tabs>
        <w:spacing w:line="240" w:lineRule="auto" w:before="0" w:after="0"/>
        <w:ind w:left="2775" w:right="0" w:hanging="253"/>
        <w:jc w:val="left"/>
        <w:rPr>
          <w:sz w:val="20"/>
        </w:rPr>
      </w:pPr>
      <w:r>
        <w:rPr>
          <w:sz w:val="20"/>
        </w:rPr>
        <w:t>Do</w:t>
      </w:r>
      <w:r>
        <w:rPr>
          <w:spacing w:val="-6"/>
          <w:sz w:val="20"/>
        </w:rPr>
        <w:t> </w:t>
      </w:r>
      <w:r>
        <w:rPr>
          <w:sz w:val="20"/>
        </w:rPr>
        <w:t>have</w:t>
      </w:r>
      <w:r>
        <w:rPr>
          <w:spacing w:val="-5"/>
          <w:sz w:val="20"/>
        </w:rPr>
        <w:t> </w:t>
      </w:r>
      <w:r>
        <w:rPr>
          <w:sz w:val="20"/>
        </w:rPr>
        <w:t>a</w:t>
      </w:r>
      <w:r>
        <w:rPr>
          <w:spacing w:val="-5"/>
          <w:sz w:val="20"/>
        </w:rPr>
        <w:t> </w:t>
      </w:r>
      <w:r>
        <w:rPr>
          <w:sz w:val="20"/>
        </w:rPr>
        <w:t>Business</w:t>
      </w:r>
      <w:r>
        <w:rPr>
          <w:spacing w:val="-5"/>
          <w:sz w:val="20"/>
        </w:rPr>
        <w:t> </w:t>
      </w:r>
      <w:r>
        <w:rPr>
          <w:sz w:val="20"/>
        </w:rPr>
        <w:t>Ethics</w:t>
      </w:r>
      <w:r>
        <w:rPr>
          <w:spacing w:val="-5"/>
          <w:sz w:val="20"/>
        </w:rPr>
        <w:t> </w:t>
      </w:r>
      <w:r>
        <w:rPr>
          <w:sz w:val="20"/>
        </w:rPr>
        <w:t>and</w:t>
      </w:r>
      <w:r>
        <w:rPr>
          <w:spacing w:val="-5"/>
          <w:sz w:val="20"/>
        </w:rPr>
        <w:t> </w:t>
      </w:r>
      <w:r>
        <w:rPr>
          <w:sz w:val="20"/>
        </w:rPr>
        <w:t>Conduct</w:t>
      </w:r>
      <w:r>
        <w:rPr>
          <w:spacing w:val="-6"/>
          <w:sz w:val="20"/>
        </w:rPr>
        <w:t> </w:t>
      </w:r>
      <w:r>
        <w:rPr>
          <w:sz w:val="20"/>
        </w:rPr>
        <w:t>Policy,</w:t>
      </w:r>
      <w:r>
        <w:rPr>
          <w:spacing w:val="-5"/>
          <w:sz w:val="20"/>
        </w:rPr>
        <w:t> </w:t>
      </w:r>
      <w:r>
        <w:rPr>
          <w:sz w:val="20"/>
        </w:rPr>
        <w:t>which</w:t>
      </w:r>
      <w:r>
        <w:rPr>
          <w:spacing w:val="-5"/>
          <w:sz w:val="20"/>
        </w:rPr>
        <w:t> </w:t>
      </w:r>
      <w:r>
        <w:rPr>
          <w:sz w:val="20"/>
        </w:rPr>
        <w:t>all</w:t>
      </w:r>
      <w:r>
        <w:rPr>
          <w:spacing w:val="-5"/>
          <w:sz w:val="20"/>
        </w:rPr>
        <w:t> </w:t>
      </w:r>
      <w:r>
        <w:rPr>
          <w:sz w:val="20"/>
        </w:rPr>
        <w:t>employees</w:t>
      </w:r>
      <w:r>
        <w:rPr>
          <w:spacing w:val="-5"/>
          <w:sz w:val="20"/>
        </w:rPr>
        <w:t> </w:t>
      </w:r>
      <w:r>
        <w:rPr>
          <w:sz w:val="20"/>
        </w:rPr>
        <w:t>must</w:t>
      </w:r>
      <w:r>
        <w:rPr>
          <w:spacing w:val="-5"/>
          <w:sz w:val="20"/>
        </w:rPr>
        <w:t> </w:t>
      </w:r>
      <w:r>
        <w:rPr>
          <w:sz w:val="20"/>
        </w:rPr>
        <w:t>follow</w:t>
      </w:r>
    </w:p>
    <w:p>
      <w:pPr>
        <w:pStyle w:val="BodyText"/>
        <w:rPr>
          <w:sz w:val="22"/>
        </w:rPr>
      </w:pPr>
    </w:p>
    <w:p>
      <w:pPr>
        <w:pStyle w:val="BodyText"/>
        <w:spacing w:before="93"/>
        <w:ind w:left="2522"/>
      </w:pPr>
      <w:r>
        <w:rPr/>
        <w:pict>
          <v:shape style="position:absolute;margin-left:49.5pt;margin-top:-.180109pt;width:102pt;height:96pt;mso-position-horizontal-relative:page;mso-position-vertical-relative:paragraph;z-index:15753728" type="#_x0000_t202" id="docshape61" filled="true" fillcolor="#888a8c" stroked="false">
            <v:textbox inset="0,0,0,0">
              <w:txbxContent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rPr>
                      <w:color w:val="000000"/>
                      <w:sz w:val="22"/>
                    </w:rPr>
                  </w:pPr>
                </w:p>
                <w:p>
                  <w:pPr>
                    <w:pStyle w:val="BodyText"/>
                    <w:spacing w:before="7"/>
                    <w:rPr>
                      <w:color w:val="000000"/>
                      <w:sz w:val="29"/>
                    </w:rPr>
                  </w:pPr>
                </w:p>
                <w:p>
                  <w:pPr>
                    <w:spacing w:before="0"/>
                    <w:ind w:left="158" w:right="0" w:firstLine="0"/>
                    <w:jc w:val="left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FFFFFF"/>
                      <w:sz w:val="20"/>
                    </w:rPr>
                    <w:t>What</w:t>
                  </w:r>
                  <w:r>
                    <w:rPr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b/>
                      <w:color w:val="FFFFFF"/>
                      <w:sz w:val="20"/>
                    </w:rPr>
                    <w:t>We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FFFFFF"/>
                      <w:sz w:val="20"/>
                    </w:rPr>
                    <w:t>Don't</w:t>
                  </w:r>
                  <w:r>
                    <w:rPr>
                      <w:b/>
                      <w:color w:val="FFFFFF"/>
                      <w:spacing w:val="-3"/>
                      <w:sz w:val="20"/>
                    </w:rPr>
                    <w:t> </w:t>
                  </w:r>
                  <w:r>
                    <w:rPr>
                      <w:b/>
                      <w:color w:val="FFFFFF"/>
                      <w:sz w:val="20"/>
                    </w:rPr>
                    <w:t>Do</w:t>
                  </w:r>
                </w:p>
              </w:txbxContent>
            </v:textbox>
            <v:fill type="solid"/>
            <w10:wrap type="none"/>
          </v:shape>
        </w:pict>
      </w:r>
      <w:r>
        <w:rPr>
          <w:b/>
        </w:rPr>
        <w:t>X</w:t>
      </w:r>
      <w:r>
        <w:rPr>
          <w:b/>
          <w:spacing w:val="49"/>
        </w:rPr>
        <w:t> </w:t>
      </w:r>
      <w:r>
        <w:rPr/>
        <w:t>No</w:t>
      </w:r>
      <w:r>
        <w:rPr>
          <w:spacing w:val="-4"/>
        </w:rPr>
        <w:t> </w:t>
      </w:r>
      <w:r>
        <w:rPr/>
        <w:t>employment</w:t>
      </w:r>
      <w:r>
        <w:rPr>
          <w:spacing w:val="-3"/>
        </w:rPr>
        <w:t> </w:t>
      </w:r>
      <w:r>
        <w:rPr/>
        <w:t>agreements</w:t>
      </w:r>
    </w:p>
    <w:p>
      <w:pPr>
        <w:pStyle w:val="BodyText"/>
        <w:spacing w:before="70"/>
        <w:ind w:left="2522"/>
      </w:pPr>
      <w:r>
        <w:rPr>
          <w:b/>
        </w:rPr>
        <w:t>X</w:t>
      </w:r>
      <w:r>
        <w:rPr>
          <w:b/>
          <w:spacing w:val="47"/>
        </w:rPr>
        <w:t> </w:t>
      </w:r>
      <w:r>
        <w:rPr/>
        <w:t>No</w:t>
      </w:r>
      <w:r>
        <w:rPr>
          <w:spacing w:val="-4"/>
        </w:rPr>
        <w:t> </w:t>
      </w:r>
      <w:r>
        <w:rPr/>
        <w:t>compensation</w:t>
      </w:r>
      <w:r>
        <w:rPr>
          <w:spacing w:val="-4"/>
        </w:rPr>
        <w:t> </w:t>
      </w:r>
      <w:r>
        <w:rPr/>
        <w:t>incentives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encourage</w:t>
      </w:r>
      <w:r>
        <w:rPr>
          <w:spacing w:val="-4"/>
        </w:rPr>
        <w:t> </w:t>
      </w:r>
      <w:r>
        <w:rPr/>
        <w:t>excessive</w:t>
      </w:r>
      <w:r>
        <w:rPr>
          <w:spacing w:val="-4"/>
        </w:rPr>
        <w:t> </w:t>
      </w:r>
      <w:r>
        <w:rPr/>
        <w:t>risk</w:t>
      </w:r>
      <w:r>
        <w:rPr>
          <w:spacing w:val="-4"/>
        </w:rPr>
        <w:t> </w:t>
      </w:r>
      <w:r>
        <w:rPr/>
        <w:t>taking</w:t>
      </w:r>
    </w:p>
    <w:p>
      <w:pPr>
        <w:pStyle w:val="BodyText"/>
        <w:spacing w:before="70"/>
        <w:ind w:left="2522"/>
      </w:pPr>
      <w:r>
        <w:rPr>
          <w:b/>
        </w:rPr>
        <w:t>X</w:t>
      </w:r>
      <w:r>
        <w:rPr>
          <w:b/>
          <w:spacing w:val="48"/>
        </w:rPr>
        <w:t> </w:t>
      </w:r>
      <w:r>
        <w:rPr/>
        <w:t>No</w:t>
      </w:r>
      <w:r>
        <w:rPr>
          <w:spacing w:val="-4"/>
        </w:rPr>
        <w:t> </w:t>
      </w:r>
      <w:r>
        <w:rPr/>
        <w:t>hedging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Company</w:t>
      </w:r>
      <w:r>
        <w:rPr>
          <w:spacing w:val="-3"/>
        </w:rPr>
        <w:t> </w:t>
      </w:r>
      <w:r>
        <w:rPr/>
        <w:t>shares</w:t>
      </w:r>
      <w:r>
        <w:rPr>
          <w:spacing w:val="-3"/>
        </w:rPr>
        <w:t> </w:t>
      </w:r>
      <w:r>
        <w:rPr/>
        <w:t>allowed</w:t>
      </w:r>
    </w:p>
    <w:p>
      <w:pPr>
        <w:pStyle w:val="BodyText"/>
        <w:spacing w:before="70"/>
        <w:ind w:left="2522"/>
      </w:pPr>
      <w:r>
        <w:rPr>
          <w:b/>
        </w:rPr>
        <w:t>X</w:t>
      </w:r>
      <w:r>
        <w:rPr>
          <w:b/>
          <w:spacing w:val="50"/>
        </w:rPr>
        <w:t> </w:t>
      </w:r>
      <w:r>
        <w:rPr/>
        <w:t>No</w:t>
      </w:r>
      <w:r>
        <w:rPr>
          <w:spacing w:val="-4"/>
        </w:rPr>
        <w:t> </w:t>
      </w:r>
      <w:r>
        <w:rPr/>
        <w:t>excise</w:t>
      </w:r>
      <w:r>
        <w:rPr>
          <w:spacing w:val="-3"/>
        </w:rPr>
        <w:t> </w:t>
      </w:r>
      <w:r>
        <w:rPr/>
        <w:t>tax</w:t>
      </w:r>
      <w:r>
        <w:rPr>
          <w:spacing w:val="-3"/>
        </w:rPr>
        <w:t> </w:t>
      </w:r>
      <w:r>
        <w:rPr/>
        <w:t>gross-up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any</w:t>
      </w:r>
      <w:r>
        <w:rPr>
          <w:spacing w:val="-3"/>
        </w:rPr>
        <w:t> </w:t>
      </w:r>
      <w:r>
        <w:rPr/>
        <w:t>change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control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other</w:t>
      </w:r>
      <w:r>
        <w:rPr>
          <w:spacing w:val="-4"/>
        </w:rPr>
        <w:t> </w:t>
      </w:r>
      <w:r>
        <w:rPr/>
        <w:t>agreements</w:t>
      </w:r>
    </w:p>
    <w:p>
      <w:pPr>
        <w:pStyle w:val="BodyText"/>
        <w:spacing w:before="70"/>
        <w:ind w:left="2522"/>
      </w:pPr>
      <w:r>
        <w:rPr>
          <w:b/>
        </w:rPr>
        <w:t>X</w:t>
      </w:r>
      <w:r>
        <w:rPr>
          <w:b/>
          <w:spacing w:val="52"/>
        </w:rPr>
        <w:t> </w:t>
      </w:r>
      <w:r>
        <w:rPr/>
        <w:t>No</w:t>
      </w:r>
      <w:r>
        <w:rPr>
          <w:spacing w:val="-3"/>
        </w:rPr>
        <w:t> </w:t>
      </w:r>
      <w:r>
        <w:rPr/>
        <w:t>excessive</w:t>
      </w:r>
      <w:r>
        <w:rPr>
          <w:spacing w:val="-2"/>
        </w:rPr>
        <w:t> </w:t>
      </w:r>
      <w:r>
        <w:rPr/>
        <w:t>perks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NEOs</w:t>
      </w:r>
    </w:p>
    <w:p>
      <w:pPr>
        <w:pStyle w:val="BodyText"/>
        <w:spacing w:before="70"/>
        <w:ind w:left="2522"/>
      </w:pPr>
      <w:r>
        <w:rPr>
          <w:b/>
        </w:rPr>
        <w:t>X</w:t>
      </w:r>
      <w:r>
        <w:rPr>
          <w:b/>
          <w:spacing w:val="47"/>
        </w:rPr>
        <w:t> </w:t>
      </w:r>
      <w:r>
        <w:rPr/>
        <w:t>No</w:t>
      </w:r>
      <w:r>
        <w:rPr>
          <w:spacing w:val="-4"/>
        </w:rPr>
        <w:t> </w:t>
      </w:r>
      <w:r>
        <w:rPr/>
        <w:t>personal</w:t>
      </w:r>
      <w:r>
        <w:rPr>
          <w:spacing w:val="-4"/>
        </w:rPr>
        <w:t> </w:t>
      </w:r>
      <w:r>
        <w:rPr/>
        <w:t>benefits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NEOs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not</w:t>
      </w:r>
      <w:r>
        <w:rPr>
          <w:spacing w:val="-4"/>
        </w:rPr>
        <w:t> </w:t>
      </w:r>
      <w:r>
        <w:rPr/>
        <w:t>otherwise</w:t>
      </w:r>
      <w:r>
        <w:rPr>
          <w:spacing w:val="-3"/>
        </w:rPr>
        <w:t> </w:t>
      </w:r>
      <w:r>
        <w:rPr/>
        <w:t>available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employees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49" w:lineRule="auto"/>
        <w:ind w:left="250" w:right="282"/>
      </w:pPr>
      <w:r>
        <w:rPr/>
        <w:t>The</w:t>
      </w:r>
      <w:r>
        <w:rPr>
          <w:spacing w:val="-6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Committee</w:t>
      </w:r>
      <w:r>
        <w:rPr>
          <w:spacing w:val="-6"/>
        </w:rPr>
        <w:t> </w:t>
      </w:r>
      <w:r>
        <w:rPr/>
        <w:t>takes</w:t>
      </w:r>
      <w:r>
        <w:rPr>
          <w:spacing w:val="-5"/>
        </w:rPr>
        <w:t> </w:t>
      </w:r>
      <w:r>
        <w:rPr/>
        <w:t>into</w:t>
      </w:r>
      <w:r>
        <w:rPr>
          <w:spacing w:val="-6"/>
        </w:rPr>
        <w:t> </w:t>
      </w:r>
      <w:r>
        <w:rPr/>
        <w:t>consideration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overall</w:t>
      </w:r>
      <w:r>
        <w:rPr>
          <w:spacing w:val="-5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5"/>
        </w:rPr>
        <w:t> </w:t>
      </w:r>
      <w:r>
        <w:rPr/>
        <w:t>when</w:t>
      </w:r>
      <w:r>
        <w:rPr>
          <w:spacing w:val="-6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the compensation program and determining final payments to the NEOs.</w:t>
      </w:r>
      <w:r>
        <w:rPr>
          <w:spacing w:val="1"/>
        </w:rPr>
        <w:t> </w:t>
      </w:r>
      <w:r>
        <w:rPr/>
        <w:t>This review of overall Company</w:t>
      </w:r>
      <w:r>
        <w:rPr>
          <w:spacing w:val="1"/>
        </w:rPr>
        <w:t> </w:t>
      </w:r>
      <w:r>
        <w:rPr/>
        <w:t>performance is in addition to specific goals and targets that are set for each NEO.</w:t>
      </w:r>
      <w:r>
        <w:rPr>
          <w:spacing w:val="1"/>
        </w:rPr>
        <w:t> </w:t>
      </w:r>
      <w:r>
        <w:rPr/>
        <w:t>We continued our strong</w:t>
      </w:r>
      <w:r>
        <w:rPr>
          <w:spacing w:val="1"/>
        </w:rPr>
        <w:t> </w:t>
      </w:r>
      <w:r>
        <w:rPr/>
        <w:t>performance in 2021 amidst the COVID-19 pandemic as further described in the "Proxy Statement Summary"</w:t>
      </w:r>
      <w:r>
        <w:rPr>
          <w:spacing w:val="1"/>
        </w:rPr>
        <w:t> </w:t>
      </w:r>
      <w:r>
        <w:rPr/>
        <w:t>section of this Proxy Statement. The impact of the pandemic on the Company's operations, capital allocation and</w:t>
      </w:r>
      <w:r>
        <w:rPr>
          <w:spacing w:val="1"/>
        </w:rPr>
        <w:t> </w:t>
      </w:r>
      <w:r>
        <w:rPr/>
        <w:t>strategic decisions for 2021, and the Company's response to the various state and local restrictions and continued</w:t>
      </w:r>
      <w:r>
        <w:rPr>
          <w:spacing w:val="1"/>
        </w:rPr>
        <w:t> </w:t>
      </w:r>
      <w:r>
        <w:rPr/>
        <w:t>efforts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ensure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safety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employees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customers,</w:t>
      </w:r>
      <w:r>
        <w:rPr>
          <w:spacing w:val="-2"/>
        </w:rPr>
        <w:t> </w:t>
      </w:r>
      <w:r>
        <w:rPr/>
        <w:t>were</w:t>
      </w:r>
      <w:r>
        <w:rPr>
          <w:spacing w:val="-3"/>
        </w:rPr>
        <w:t> </w:t>
      </w:r>
      <w:r>
        <w:rPr/>
        <w:t>key</w:t>
      </w:r>
      <w:r>
        <w:rPr>
          <w:spacing w:val="-2"/>
        </w:rPr>
        <w:t> </w:t>
      </w:r>
      <w:r>
        <w:rPr/>
        <w:t>priorities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2021.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9" w:lineRule="auto" w:before="1"/>
        <w:ind w:left="250" w:right="321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graphs</w:t>
      </w:r>
      <w:r>
        <w:rPr>
          <w:spacing w:val="-5"/>
        </w:rPr>
        <w:t> </w:t>
      </w:r>
      <w:r>
        <w:rPr/>
        <w:t>show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Company's</w:t>
      </w:r>
      <w:r>
        <w:rPr>
          <w:spacing w:val="-5"/>
        </w:rPr>
        <w:t> </w:t>
      </w:r>
      <w:r>
        <w:rPr/>
        <w:t>Normalized</w:t>
      </w:r>
      <w:r>
        <w:rPr>
          <w:spacing w:val="-4"/>
        </w:rPr>
        <w:t> </w:t>
      </w:r>
      <w:r>
        <w:rPr/>
        <w:t>FFO</w:t>
      </w:r>
      <w:r>
        <w:rPr>
          <w:spacing w:val="-4"/>
        </w:rPr>
        <w:t> </w:t>
      </w:r>
      <w:r>
        <w:rPr/>
        <w:t>per</w:t>
      </w:r>
      <w:r>
        <w:rPr>
          <w:spacing w:val="-5"/>
        </w:rPr>
        <w:t> </w:t>
      </w:r>
      <w:r>
        <w:rPr/>
        <w:t>share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Common</w:t>
      </w:r>
      <w:r>
        <w:rPr>
          <w:spacing w:val="-5"/>
        </w:rPr>
        <w:t> </w:t>
      </w:r>
      <w:r>
        <w:rPr/>
        <w:t>Stock,</w:t>
      </w:r>
      <w:r>
        <w:rPr>
          <w:spacing w:val="-4"/>
        </w:rPr>
        <w:t> </w:t>
      </w:r>
      <w:r>
        <w:rPr/>
        <w:t>annual</w:t>
      </w:r>
      <w:r>
        <w:rPr>
          <w:spacing w:val="-4"/>
        </w:rPr>
        <w:t> </w:t>
      </w:r>
      <w:r>
        <w:rPr/>
        <w:t>dividend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/>
        <w:t>share</w:t>
      </w:r>
      <w:r>
        <w:rPr>
          <w:spacing w:val="1"/>
        </w:rPr>
        <w:t> </w:t>
      </w:r>
      <w:r>
        <w:rPr/>
        <w:t>and related compounded annual growth rates ("CAGR"), historical stock price and Normalized FFO.</w:t>
      </w:r>
      <w:r>
        <w:rPr>
          <w:spacing w:val="1"/>
        </w:rPr>
        <w:t> </w:t>
      </w:r>
      <w:r>
        <w:rPr/>
        <w:t>Normalized</w:t>
      </w:r>
      <w:r>
        <w:rPr>
          <w:spacing w:val="1"/>
        </w:rPr>
        <w:t> </w:t>
      </w:r>
      <w:r>
        <w:rPr/>
        <w:t>FFO is a non-GAAP financial measure. The Company believes that Normalized FFO is generally an appropriate</w:t>
      </w:r>
      <w:r>
        <w:rPr>
          <w:spacing w:val="1"/>
        </w:rPr>
        <w:t> </w:t>
      </w:r>
      <w:r>
        <w:rPr/>
        <w:t>measure of performance of an equity REIT. Appendix A to this Proxy Statement includes the definition of</w:t>
      </w:r>
      <w:r>
        <w:rPr>
          <w:spacing w:val="1"/>
        </w:rPr>
        <w:t> </w:t>
      </w:r>
      <w:r>
        <w:rPr/>
        <w:t>Normalized</w:t>
      </w:r>
      <w:r>
        <w:rPr>
          <w:spacing w:val="-4"/>
        </w:rPr>
        <w:t> </w:t>
      </w:r>
      <w:r>
        <w:rPr/>
        <w:t>FFO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reconciliation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Normalized</w:t>
      </w:r>
      <w:r>
        <w:rPr>
          <w:spacing w:val="-3"/>
        </w:rPr>
        <w:t> </w:t>
      </w:r>
      <w:r>
        <w:rPr/>
        <w:t>FFO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net</w:t>
      </w:r>
      <w:r>
        <w:rPr>
          <w:spacing w:val="-3"/>
        </w:rPr>
        <w:t> </w:t>
      </w:r>
      <w:r>
        <w:rPr/>
        <w:t>income,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3"/>
        </w:rPr>
        <w:t> </w:t>
      </w:r>
      <w:r>
        <w:rPr/>
        <w:t>comparable</w:t>
      </w:r>
      <w:r>
        <w:rPr>
          <w:spacing w:val="-3"/>
        </w:rPr>
        <w:t> </w:t>
      </w:r>
      <w:r>
        <w:rPr/>
        <w:t>GAAP</w:t>
      </w:r>
      <w:r>
        <w:rPr>
          <w:spacing w:val="-6"/>
        </w:rPr>
        <w:t> </w:t>
      </w:r>
      <w:r>
        <w:rPr/>
        <w:t>measure.</w:t>
      </w:r>
    </w:p>
    <w:p>
      <w:pPr>
        <w:spacing w:after="0" w:line="249" w:lineRule="auto"/>
        <w:sectPr>
          <w:pgSz w:w="12240" w:h="15840"/>
          <w:pgMar w:header="0" w:footer="517" w:top="860" w:bottom="780" w:left="740" w:right="700"/>
        </w:sectPr>
      </w:pPr>
    </w:p>
    <w:p>
      <w:pPr>
        <w:pStyle w:val="BodyText"/>
        <w:ind w:left="636"/>
      </w:pPr>
      <w:r>
        <w:rPr/>
        <w:drawing>
          <wp:inline distT="0" distB="0" distL="0" distR="0">
            <wp:extent cx="6254510" cy="6221063"/>
            <wp:effectExtent l="0" t="0" r="0" b="0"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4510" cy="622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pStyle w:val="BodyText"/>
      </w:pPr>
    </w:p>
    <w:p>
      <w:pPr>
        <w:pStyle w:val="BodyText"/>
        <w:rPr>
          <w:sz w:val="23"/>
        </w:rPr>
      </w:pPr>
    </w:p>
    <w:p>
      <w:pPr>
        <w:pStyle w:val="Heading3"/>
        <w:spacing w:before="1"/>
      </w:pPr>
      <w:r>
        <w:rPr>
          <w:color w:val="00539E"/>
        </w:rPr>
        <w:t>Philosophy</w:t>
      </w:r>
    </w:p>
    <w:p>
      <w:pPr>
        <w:pStyle w:val="BodyText"/>
        <w:spacing w:line="249" w:lineRule="auto" w:before="215"/>
        <w:ind w:left="250" w:right="308"/>
      </w:pPr>
      <w:r>
        <w:rPr/>
        <w:t>The Compensation Committee determines and approves the compensation of the Company's NEOs and guides the</w:t>
      </w:r>
      <w:r>
        <w:rPr>
          <w:spacing w:val="-53"/>
        </w:rPr>
        <w:t> </w:t>
      </w:r>
      <w:r>
        <w:rPr/>
        <w:t>Company's overall philosophy towards the compensation of its employees. The Compensation Committee believes</w:t>
      </w:r>
      <w:r>
        <w:rPr>
          <w:spacing w:val="1"/>
        </w:rPr>
        <w:t> </w:t>
      </w:r>
      <w:r>
        <w:rPr/>
        <w:t>that the compensation of the Company's NEOs should be both competitive and based on individual and Company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 Compensation Committee believes that the compensation of the NEOs should reflect their</w:t>
      </w:r>
      <w:r>
        <w:rPr>
          <w:spacing w:val="1"/>
        </w:rPr>
        <w:t> </w:t>
      </w:r>
      <w:r>
        <w:rPr/>
        <w:t>success as a management team in attaining certain operational goals, which leads to the success of the Company</w:t>
      </w:r>
      <w:r>
        <w:rPr>
          <w:spacing w:val="1"/>
        </w:rPr>
        <w:t> </w:t>
      </w:r>
      <w:r>
        <w:rPr/>
        <w:t>and serves the best interests of its stockholders. The Compensation Committee consults with the CEO regarding</w:t>
      </w:r>
      <w:r>
        <w:rPr>
          <w:spacing w:val="1"/>
        </w:rPr>
        <w:t> </w:t>
      </w:r>
      <w:r>
        <w:rPr/>
        <w:t>both</w:t>
      </w:r>
      <w:r>
        <w:rPr>
          <w:spacing w:val="-6"/>
        </w:rPr>
        <w:t> </w:t>
      </w:r>
      <w:r>
        <w:rPr/>
        <w:t>NEOs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non-executive</w:t>
      </w:r>
      <w:r>
        <w:rPr>
          <w:spacing w:val="-5"/>
        </w:rPr>
        <w:t> </w:t>
      </w:r>
      <w:r>
        <w:rPr/>
        <w:t>employee</w:t>
      </w:r>
      <w:r>
        <w:rPr>
          <w:spacing w:val="-6"/>
        </w:rPr>
        <w:t> </w:t>
      </w:r>
      <w:r>
        <w:rPr/>
        <w:t>compensation</w:t>
      </w:r>
      <w:r>
        <w:rPr>
          <w:spacing w:val="-6"/>
        </w:rPr>
        <w:t> </w:t>
      </w:r>
      <w:r>
        <w:rPr/>
        <w:t>plans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programs,</w:t>
      </w:r>
      <w:r>
        <w:rPr>
          <w:spacing w:val="-6"/>
        </w:rPr>
        <w:t> </w:t>
      </w:r>
      <w:r>
        <w:rPr/>
        <w:t>including</w:t>
      </w:r>
      <w:r>
        <w:rPr>
          <w:spacing w:val="-6"/>
        </w:rPr>
        <w:t> </w:t>
      </w:r>
      <w:r>
        <w:rPr/>
        <w:t>administering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Company's</w:t>
      </w:r>
      <w:r>
        <w:rPr>
          <w:spacing w:val="1"/>
        </w:rPr>
        <w:t> </w:t>
      </w:r>
      <w:r>
        <w:rPr/>
        <w:t>equity</w:t>
      </w:r>
      <w:r>
        <w:rPr>
          <w:spacing w:val="-2"/>
        </w:rPr>
        <w:t> </w:t>
      </w:r>
      <w:r>
        <w:rPr/>
        <w:t>incentive</w:t>
      </w:r>
      <w:r>
        <w:rPr>
          <w:spacing w:val="-1"/>
        </w:rPr>
        <w:t> </w:t>
      </w:r>
      <w:r>
        <w:rPr/>
        <w:t>plan.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In 2017, the Company retained, at the direction of the Compensation Committee, Willis Towers Watson as its</w:t>
      </w:r>
      <w:r>
        <w:rPr>
          <w:spacing w:val="1"/>
        </w:rPr>
        <w:t> </w:t>
      </w:r>
      <w:r>
        <w:rPr/>
        <w:t>independent</w:t>
      </w:r>
      <w:r>
        <w:rPr>
          <w:spacing w:val="-7"/>
        </w:rPr>
        <w:t> </w:t>
      </w:r>
      <w:r>
        <w:rPr/>
        <w:t>outside</w:t>
      </w:r>
      <w:r>
        <w:rPr>
          <w:spacing w:val="-6"/>
        </w:rPr>
        <w:t> </w:t>
      </w:r>
      <w:r>
        <w:rPr/>
        <w:t>compensation</w:t>
      </w:r>
      <w:r>
        <w:rPr>
          <w:spacing w:val="-7"/>
        </w:rPr>
        <w:t> </w:t>
      </w:r>
      <w:r>
        <w:rPr/>
        <w:t>consultant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independent</w:t>
      </w:r>
      <w:r>
        <w:rPr>
          <w:spacing w:val="-6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recommendation</w:t>
      </w:r>
      <w:r>
        <w:rPr>
          <w:spacing w:val="-7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 Company's long-term executive compensation plan. The analysis was used in establishing executive</w:t>
      </w:r>
      <w:r>
        <w:rPr>
          <w:spacing w:val="1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2018</w:t>
      </w:r>
      <w:r>
        <w:rPr>
          <w:spacing w:val="-5"/>
        </w:rPr>
        <w:t> </w:t>
      </w:r>
      <w:r>
        <w:rPr/>
        <w:t>through</w:t>
      </w:r>
      <w:r>
        <w:rPr>
          <w:spacing w:val="-5"/>
        </w:rPr>
        <w:t> </w:t>
      </w:r>
      <w:r>
        <w:rPr/>
        <w:t>2021.</w:t>
      </w:r>
      <w:r>
        <w:rPr>
          <w:spacing w:val="43"/>
        </w:rPr>
        <w:t> </w:t>
      </w:r>
      <w:r>
        <w:rPr/>
        <w:t>The</w:t>
      </w:r>
      <w:r>
        <w:rPr>
          <w:spacing w:val="-4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Committee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engage</w:t>
      </w:r>
      <w:r>
        <w:rPr>
          <w:spacing w:val="-5"/>
        </w:rPr>
        <w:t> </w:t>
      </w:r>
      <w:r>
        <w:rPr/>
        <w:t>Willis</w:t>
      </w:r>
      <w:r>
        <w:rPr>
          <w:spacing w:val="-8"/>
        </w:rPr>
        <w:t> </w:t>
      </w:r>
      <w:r>
        <w:rPr/>
        <w:t>Towers</w:t>
      </w:r>
    </w:p>
    <w:p>
      <w:pPr>
        <w:spacing w:after="0" w:line="249" w:lineRule="auto"/>
        <w:sectPr>
          <w:pgSz w:w="12240" w:h="15840"/>
          <w:pgMar w:header="0" w:footer="517" w:top="1080" w:bottom="780" w:left="740" w:right="700"/>
        </w:sectPr>
      </w:pPr>
    </w:p>
    <w:p>
      <w:pPr>
        <w:pStyle w:val="BodyText"/>
        <w:spacing w:line="249" w:lineRule="auto" w:before="73"/>
        <w:ind w:left="250" w:right="369"/>
      </w:pPr>
      <w:r>
        <w:rPr/>
        <w:t>Watson as its independent outside compensation consultant or hire additional consultants at any time.</w:t>
      </w:r>
      <w:r>
        <w:rPr>
          <w:spacing w:val="1"/>
        </w:rPr>
        <w:t> </w:t>
      </w:r>
      <w:r>
        <w:rPr/>
        <w:t>Willis</w:t>
      </w:r>
      <w:r>
        <w:rPr>
          <w:spacing w:val="1"/>
        </w:rPr>
        <w:t> </w:t>
      </w:r>
      <w:r>
        <w:rPr/>
        <w:t>Towers Watson did not provide any additional services to the Compensation Committee and did not provide any</w:t>
      </w:r>
      <w:r>
        <w:rPr>
          <w:spacing w:val="1"/>
        </w:rPr>
        <w:t> </w:t>
      </w:r>
      <w:r>
        <w:rPr/>
        <w:t>services to the Company other than those it provided to the Compensation Committee described above. The sole</w:t>
      </w:r>
      <w:r>
        <w:rPr>
          <w:spacing w:val="1"/>
        </w:rPr>
        <w:t> </w:t>
      </w:r>
      <w:r>
        <w:rPr/>
        <w:t>role of Willis Towers Watson has been to advise the Compensation Committee with respect to compensation at the</w:t>
      </w:r>
      <w:r>
        <w:rPr>
          <w:spacing w:val="-53"/>
        </w:rPr>
        <w:t> </w:t>
      </w:r>
      <w:r>
        <w:rPr/>
        <w:t>request, and at the direction, of the Compensation Committee. The ultimate determination of total compensation</w:t>
      </w:r>
      <w:r>
        <w:rPr>
          <w:spacing w:val="1"/>
        </w:rPr>
        <w:t> </w:t>
      </w:r>
      <w:r>
        <w:rPr/>
        <w:t>and the elements that comprise total compensation for our NEOs is made solely by our Compensation Committee.</w:t>
      </w:r>
      <w:r>
        <w:rPr>
          <w:spacing w:val="1"/>
        </w:rPr>
        <w:t> </w:t>
      </w:r>
      <w:r>
        <w:rPr/>
        <w:t>In addition, the Compensation Committee compared the NEOs total compensation to the NAREIT Compensation</w:t>
      </w:r>
      <w:r>
        <w:rPr>
          <w:spacing w:val="1"/>
        </w:rPr>
        <w:t> </w:t>
      </w:r>
      <w:r>
        <w:rPr/>
        <w:t>Survey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salaries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executives</w:t>
      </w:r>
      <w:r>
        <w:rPr>
          <w:spacing w:val="-6"/>
        </w:rPr>
        <w:t> </w:t>
      </w:r>
      <w:r>
        <w:rPr/>
        <w:t>at</w:t>
      </w:r>
      <w:r>
        <w:rPr>
          <w:spacing w:val="-5"/>
        </w:rPr>
        <w:t> </w:t>
      </w:r>
      <w:r>
        <w:rPr/>
        <w:t>other</w:t>
      </w:r>
      <w:r>
        <w:rPr>
          <w:spacing w:val="-5"/>
        </w:rPr>
        <w:t> </w:t>
      </w:r>
      <w:r>
        <w:rPr/>
        <w:t>REITs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obtained</w:t>
      </w:r>
      <w:r>
        <w:rPr>
          <w:spacing w:val="-5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S&amp;P</w:t>
      </w:r>
      <w:r>
        <w:rPr>
          <w:spacing w:val="-8"/>
        </w:rPr>
        <w:t> </w:t>
      </w:r>
      <w:r>
        <w:rPr/>
        <w:t>Global</w:t>
      </w:r>
      <w:r>
        <w:rPr>
          <w:spacing w:val="-5"/>
        </w:rPr>
        <w:t> </w:t>
      </w:r>
      <w:r>
        <w:rPr/>
        <w:t>database</w:t>
      </w:r>
      <w:r>
        <w:rPr>
          <w:spacing w:val="-5"/>
        </w:rPr>
        <w:t> </w:t>
      </w:r>
      <w:r>
        <w:rPr/>
        <w:t>(formerly</w:t>
      </w:r>
      <w:r>
        <w:rPr>
          <w:spacing w:val="-6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SNL</w:t>
      </w:r>
      <w:r>
        <w:rPr>
          <w:spacing w:val="-8"/>
        </w:rPr>
        <w:t> </w:t>
      </w:r>
      <w:r>
        <w:rPr/>
        <w:t>Financial).</w:t>
      </w:r>
    </w:p>
    <w:p>
      <w:pPr>
        <w:pStyle w:val="BodyText"/>
        <w:spacing w:before="7"/>
        <w:rPr>
          <w:sz w:val="17"/>
        </w:rPr>
      </w:pPr>
    </w:p>
    <w:p>
      <w:pPr>
        <w:pStyle w:val="Heading3"/>
      </w:pPr>
      <w:r>
        <w:rPr>
          <w:color w:val="00539E"/>
        </w:rPr>
        <w:t>Objectives</w:t>
      </w:r>
      <w:r>
        <w:rPr>
          <w:color w:val="00539E"/>
          <w:spacing w:val="-5"/>
        </w:rPr>
        <w:t> </w:t>
      </w:r>
      <w:r>
        <w:rPr>
          <w:color w:val="00539E"/>
        </w:rPr>
        <w:t>of</w:t>
      </w:r>
      <w:r>
        <w:rPr>
          <w:color w:val="00539E"/>
          <w:spacing w:val="-4"/>
        </w:rPr>
        <w:t> </w:t>
      </w:r>
      <w:r>
        <w:rPr>
          <w:color w:val="00539E"/>
        </w:rPr>
        <w:t>the</w:t>
      </w:r>
      <w:r>
        <w:rPr>
          <w:color w:val="00539E"/>
          <w:spacing w:val="-4"/>
        </w:rPr>
        <w:t> </w:t>
      </w:r>
      <w:r>
        <w:rPr>
          <w:color w:val="00539E"/>
        </w:rPr>
        <w:t>Compensation</w:t>
      </w:r>
      <w:r>
        <w:rPr>
          <w:color w:val="00539E"/>
          <w:spacing w:val="-5"/>
        </w:rPr>
        <w:t> </w:t>
      </w:r>
      <w:r>
        <w:rPr>
          <w:color w:val="00539E"/>
        </w:rPr>
        <w:t>Program</w:t>
      </w:r>
    </w:p>
    <w:p>
      <w:pPr>
        <w:pStyle w:val="BodyText"/>
        <w:spacing w:line="249" w:lineRule="auto" w:before="216"/>
        <w:ind w:left="250" w:right="308"/>
      </w:pPr>
      <w:r>
        <w:rPr/>
        <w:t>The</w:t>
      </w:r>
      <w:r>
        <w:rPr>
          <w:spacing w:val="-5"/>
        </w:rPr>
        <w:t> </w:t>
      </w:r>
      <w:r>
        <w:rPr/>
        <w:t>primary</w:t>
      </w:r>
      <w:r>
        <w:rPr>
          <w:spacing w:val="-5"/>
        </w:rPr>
        <w:t> </w:t>
      </w:r>
      <w:r>
        <w:rPr/>
        <w:t>objective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Company's</w:t>
      </w:r>
      <w:r>
        <w:rPr>
          <w:spacing w:val="-4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program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attract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retain</w:t>
      </w:r>
      <w:r>
        <w:rPr>
          <w:spacing w:val="-5"/>
        </w:rPr>
        <w:t> </w:t>
      </w:r>
      <w:r>
        <w:rPr/>
        <w:t>highly</w:t>
      </w:r>
      <w:r>
        <w:rPr>
          <w:spacing w:val="-5"/>
        </w:rPr>
        <w:t> </w:t>
      </w:r>
      <w:r>
        <w:rPr/>
        <w:t>qualified</w:t>
      </w:r>
      <w:r>
        <w:rPr>
          <w:spacing w:val="-4"/>
        </w:rPr>
        <w:t> </w:t>
      </w:r>
      <w:r>
        <w:rPr/>
        <w:t>executives</w:t>
      </w:r>
      <w:r>
        <w:rPr>
          <w:spacing w:val="-5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 competitive Base Salaries and meaningful Cash Bonus and Equity Compensation.</w:t>
      </w:r>
      <w:r>
        <w:rPr>
          <w:spacing w:val="1"/>
        </w:rPr>
        <w:t> </w:t>
      </w:r>
      <w:r>
        <w:rPr/>
        <w:t>In addition, the</w:t>
      </w:r>
      <w:r>
        <w:rPr>
          <w:spacing w:val="1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program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structured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hold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NEOs</w:t>
      </w:r>
      <w:r>
        <w:rPr>
          <w:spacing w:val="-4"/>
        </w:rPr>
        <w:t> </w:t>
      </w:r>
      <w:r>
        <w:rPr/>
        <w:t>accountable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tying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substantial majority of their annual Cash Bonus and a substantial portion of their Equity Compensation to</w:t>
      </w:r>
      <w:r>
        <w:rPr>
          <w:spacing w:val="1"/>
        </w:rPr>
        <w:t> </w:t>
      </w:r>
      <w:r>
        <w:rPr/>
        <w:t>performance targets. The compensation program is also designed to promote an ownership mentality among the</w:t>
      </w:r>
      <w:r>
        <w:rPr>
          <w:spacing w:val="1"/>
        </w:rPr>
        <w:t> </w:t>
      </w:r>
      <w:r>
        <w:rPr/>
        <w:t>NEOs. The Compensation Committee recognizes that the interests of stockholders are best served by giving our</w:t>
      </w:r>
      <w:r>
        <w:rPr>
          <w:spacing w:val="1"/>
        </w:rPr>
        <w:t> </w:t>
      </w:r>
      <w:r>
        <w:rPr/>
        <w:t>NEOs the opportunity to participate in the appreciation of the Company's Common Stock.</w:t>
      </w:r>
      <w:r>
        <w:rPr>
          <w:spacing w:val="1"/>
        </w:rPr>
        <w:t> </w:t>
      </w:r>
      <w:r>
        <w:rPr/>
        <w:t>The Board has</w:t>
      </w:r>
      <w:r>
        <w:rPr>
          <w:spacing w:val="1"/>
        </w:rPr>
        <w:t> </w:t>
      </w:r>
      <w:r>
        <w:rPr/>
        <w:t>established stock ownership guidelines for each of the NEO positions and Directors. Under these guidelines, all of</w:t>
      </w:r>
      <w:r>
        <w:rPr>
          <w:spacing w:val="1"/>
        </w:rPr>
        <w:t> </w:t>
      </w:r>
      <w:r>
        <w:rPr/>
        <w:t>the NEOs and Directors are required to own a minimum amount of the Company’s Common Stock within four years</w:t>
      </w:r>
      <w:r>
        <w:rPr>
          <w:spacing w:val="-53"/>
        </w:rPr>
        <w:t> </w:t>
      </w:r>
      <w:r>
        <w:rPr/>
        <w:t>from their first appointment as an NEO or Director, valued at the time of purchase, and to maintain this minimum</w:t>
      </w:r>
      <w:r>
        <w:rPr>
          <w:spacing w:val="1"/>
        </w:rPr>
        <w:t> </w:t>
      </w:r>
      <w:r>
        <w:rPr/>
        <w:t>amount throughout their tenure as a NEO or Director.</w:t>
      </w:r>
      <w:r>
        <w:rPr>
          <w:spacing w:val="55"/>
        </w:rPr>
        <w:t> </w:t>
      </w:r>
      <w:r>
        <w:rPr/>
        <w:t>Such ownership guidelines are as follows:</w:t>
      </w:r>
      <w:r>
        <w:rPr>
          <w:spacing w:val="56"/>
        </w:rPr>
        <w:t> </w:t>
      </w:r>
      <w:r>
        <w:rPr/>
        <w:t>five times the</w:t>
      </w:r>
      <w:r>
        <w:rPr>
          <w:spacing w:val="1"/>
        </w:rPr>
        <w:t> </w:t>
      </w:r>
      <w:r>
        <w:rPr/>
        <w:t>Base Salary for the CEO; three times the Base Salary for each of the other NEOs; and three times the annual</w:t>
      </w:r>
      <w:r>
        <w:rPr>
          <w:spacing w:val="1"/>
        </w:rPr>
        <w:t> </w:t>
      </w:r>
      <w:r>
        <w:rPr/>
        <w:t>retainer for each Director. Furthermore, any stock pledged by a Director or NEO is excluded from the computation.</w:t>
      </w:r>
      <w:r>
        <w:rPr>
          <w:spacing w:val="1"/>
        </w:rPr>
        <w:t> </w:t>
      </w:r>
      <w:r>
        <w:rPr/>
        <w:t>Hedges by Directors and NEOs are prohibited by our policy. With the exception of Mr. Burks who was appointed to</w:t>
      </w:r>
      <w:r>
        <w:rPr>
          <w:spacing w:val="1"/>
        </w:rPr>
        <w:t> </w:t>
      </w:r>
      <w:r>
        <w:rPr/>
        <w:t>the Board in February 2021, each of the Directors and NEOs currently own shares of Common Stock that exceed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minimum</w:t>
      </w:r>
      <w:r>
        <w:rPr>
          <w:spacing w:val="-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guidelines.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49" w:lineRule="auto"/>
        <w:ind w:left="250" w:right="376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shows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value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shares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Common</w:t>
      </w:r>
      <w:r>
        <w:rPr>
          <w:spacing w:val="-5"/>
        </w:rPr>
        <w:t> </w:t>
      </w:r>
      <w:r>
        <w:rPr/>
        <w:t>Stock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4"/>
        </w:rPr>
        <w:t> </w:t>
      </w:r>
      <w:r>
        <w:rPr/>
        <w:t>beneficially</w:t>
      </w:r>
      <w:r>
        <w:rPr>
          <w:spacing w:val="-5"/>
        </w:rPr>
        <w:t> </w:t>
      </w:r>
      <w:r>
        <w:rPr/>
        <w:t>owned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February</w:t>
      </w:r>
      <w:r>
        <w:rPr>
          <w:spacing w:val="1"/>
        </w:rPr>
        <w:t> </w:t>
      </w:r>
      <w:r>
        <w:rPr/>
        <w:t>18, 2022 (the "Record Date") by each of the NEOs as a multiple of their 2021 base salary. The NEOs have not</w:t>
      </w:r>
      <w:r>
        <w:rPr>
          <w:spacing w:val="1"/>
        </w:rPr>
        <w:t> </w:t>
      </w:r>
      <w:r>
        <w:rPr/>
        <w:t>been</w:t>
      </w:r>
      <w:r>
        <w:rPr>
          <w:spacing w:val="-2"/>
        </w:rPr>
        <w:t> </w:t>
      </w:r>
      <w:r>
        <w:rPr/>
        <w:t>awarded</w:t>
      </w:r>
      <w:r>
        <w:rPr>
          <w:spacing w:val="-1"/>
        </w:rPr>
        <w:t> </w:t>
      </w:r>
      <w:r>
        <w:rPr/>
        <w:t>stock</w:t>
      </w:r>
      <w:r>
        <w:rPr>
          <w:spacing w:val="-1"/>
        </w:rPr>
        <w:t> </w:t>
      </w:r>
      <w:r>
        <w:rPr/>
        <w:t>options.</w:t>
      </w:r>
    </w:p>
    <w:p>
      <w:pPr>
        <w:pStyle w:val="BodyText"/>
        <w:spacing w:before="10"/>
        <w:rPr>
          <w:sz w:val="9"/>
        </w:rPr>
      </w:pPr>
    </w:p>
    <w:p>
      <w:pPr>
        <w:spacing w:after="0"/>
        <w:rPr>
          <w:sz w:val="9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</w:pPr>
    </w:p>
    <w:p>
      <w:pPr>
        <w:pStyle w:val="BodyText"/>
        <w:spacing w:before="5"/>
        <w:rPr>
          <w:sz w:val="19"/>
        </w:rPr>
      </w:pPr>
    </w:p>
    <w:p>
      <w:pPr>
        <w:spacing w:before="1"/>
        <w:ind w:left="347" w:right="0" w:firstLine="0"/>
        <w:jc w:val="left"/>
        <w:rPr>
          <w:b/>
          <w:sz w:val="18"/>
        </w:rPr>
      </w:pPr>
      <w:r>
        <w:rPr>
          <w:b/>
          <w:sz w:val="18"/>
        </w:rPr>
        <w:t>Name</w:t>
      </w:r>
    </w:p>
    <w:p>
      <w:pPr>
        <w:spacing w:line="208" w:lineRule="auto" w:before="116"/>
        <w:ind w:left="347" w:right="0" w:hanging="1"/>
        <w:jc w:val="center"/>
        <w:rPr>
          <w:b/>
          <w:sz w:val="18"/>
        </w:rPr>
      </w:pPr>
      <w:r>
        <w:rPr/>
        <w:br w:type="column"/>
      </w:r>
      <w:r>
        <w:rPr>
          <w:b/>
          <w:sz w:val="18"/>
        </w:rPr>
        <w:t>Shares of</w:t>
      </w:r>
      <w:r>
        <w:rPr>
          <w:b/>
          <w:spacing w:val="1"/>
          <w:sz w:val="18"/>
        </w:rPr>
        <w:t> </w:t>
      </w:r>
      <w:r>
        <w:rPr>
          <w:b/>
          <w:spacing w:val="-1"/>
          <w:sz w:val="18"/>
        </w:rPr>
        <w:t>Common</w:t>
      </w:r>
      <w:r>
        <w:rPr>
          <w:b/>
          <w:spacing w:val="-10"/>
          <w:sz w:val="18"/>
        </w:rPr>
        <w:t> </w:t>
      </w:r>
      <w:r>
        <w:rPr>
          <w:b/>
          <w:sz w:val="18"/>
        </w:rPr>
        <w:t>Stock</w:t>
      </w:r>
    </w:p>
    <w:p>
      <w:pPr>
        <w:spacing w:line="89" w:lineRule="exact" w:before="0"/>
        <w:ind w:left="916" w:right="570" w:firstLine="0"/>
        <w:jc w:val="center"/>
        <w:rPr>
          <w:b/>
          <w:sz w:val="11"/>
        </w:rPr>
      </w:pPr>
      <w:r>
        <w:rPr>
          <w:b/>
          <w:w w:val="105"/>
          <w:sz w:val="11"/>
        </w:rPr>
        <w:t>(1)</w:t>
      </w:r>
    </w:p>
    <w:p>
      <w:pPr>
        <w:spacing w:line="208" w:lineRule="auto" w:before="116"/>
        <w:ind w:left="227" w:right="1771" w:firstLine="275"/>
        <w:jc w:val="left"/>
        <w:rPr>
          <w:b/>
          <w:sz w:val="18"/>
        </w:rPr>
      </w:pPr>
      <w:r>
        <w:rPr/>
        <w:br w:type="column"/>
      </w:r>
      <w:r>
        <w:rPr>
          <w:b/>
          <w:sz w:val="18"/>
        </w:rPr>
        <w:t>Value of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Shares</w:t>
      </w:r>
      <w:r>
        <w:rPr>
          <w:b/>
          <w:spacing w:val="-13"/>
          <w:sz w:val="18"/>
        </w:rPr>
        <w:t> </w:t>
      </w:r>
      <w:r>
        <w:rPr>
          <w:b/>
          <w:sz w:val="18"/>
        </w:rPr>
        <w:t>Owned</w:t>
      </w:r>
    </w:p>
    <w:p>
      <w:pPr>
        <w:tabs>
          <w:tab w:pos="1924" w:val="left" w:leader="none"/>
        </w:tabs>
        <w:spacing w:line="185" w:lineRule="exact" w:before="0"/>
        <w:ind w:left="645" w:right="0" w:firstLine="0"/>
        <w:jc w:val="left"/>
        <w:rPr>
          <w:b/>
          <w:sz w:val="18"/>
        </w:rPr>
      </w:pPr>
      <w:r>
        <w:rPr>
          <w:b/>
          <w:sz w:val="18"/>
        </w:rPr>
        <w:t>($) </w:t>
      </w:r>
      <w:r>
        <w:rPr>
          <w:b/>
          <w:sz w:val="18"/>
          <w:vertAlign w:val="superscript"/>
        </w:rPr>
        <w:t>(2)</w:t>
      </w:r>
      <w:r>
        <w:rPr>
          <w:b/>
          <w:sz w:val="18"/>
          <w:vertAlign w:val="baseline"/>
        </w:rPr>
        <w:tab/>
        <w:t>Base</w:t>
      </w:r>
      <w:r>
        <w:rPr>
          <w:b/>
          <w:spacing w:val="-3"/>
          <w:sz w:val="18"/>
          <w:vertAlign w:val="baseline"/>
        </w:rPr>
        <w:t> </w:t>
      </w:r>
      <w:r>
        <w:rPr>
          <w:b/>
          <w:sz w:val="18"/>
          <w:vertAlign w:val="baseline"/>
        </w:rPr>
        <w:t>Salary</w:t>
      </w:r>
      <w:r>
        <w:rPr>
          <w:b/>
          <w:spacing w:val="-2"/>
          <w:sz w:val="18"/>
          <w:vertAlign w:val="baseline"/>
        </w:rPr>
        <w:t> </w:t>
      </w:r>
      <w:r>
        <w:rPr>
          <w:b/>
          <w:sz w:val="18"/>
          <w:vertAlign w:val="baseline"/>
        </w:rPr>
        <w:t>($)</w:t>
      </w:r>
    </w:p>
    <w:p>
      <w:pPr>
        <w:spacing w:line="240" w:lineRule="auto" w:before="8"/>
        <w:rPr>
          <w:b/>
          <w:sz w:val="25"/>
        </w:rPr>
      </w:pPr>
      <w:r>
        <w:rPr/>
        <w:br w:type="column"/>
      </w:r>
      <w:r>
        <w:rPr>
          <w:b/>
          <w:sz w:val="25"/>
        </w:rPr>
      </w:r>
    </w:p>
    <w:p>
      <w:pPr>
        <w:spacing w:line="208" w:lineRule="auto" w:before="1"/>
        <w:ind w:left="347" w:right="0" w:firstLine="127"/>
        <w:jc w:val="left"/>
        <w:rPr>
          <w:b/>
          <w:sz w:val="18"/>
        </w:rPr>
      </w:pPr>
      <w:r>
        <w:rPr>
          <w:b/>
          <w:sz w:val="18"/>
        </w:rPr>
        <w:t>Stock Ownership</w:t>
      </w:r>
      <w:r>
        <w:rPr>
          <w:b/>
          <w:spacing w:val="1"/>
          <w:sz w:val="18"/>
        </w:rPr>
        <w:t> </w:t>
      </w:r>
      <w:r>
        <w:rPr>
          <w:b/>
          <w:spacing w:val="-2"/>
          <w:sz w:val="18"/>
        </w:rPr>
        <w:t>Value/Base</w:t>
      </w:r>
      <w:r>
        <w:rPr>
          <w:b/>
          <w:spacing w:val="4"/>
          <w:sz w:val="18"/>
        </w:rPr>
        <w:t> </w:t>
      </w:r>
      <w:r>
        <w:rPr>
          <w:b/>
          <w:spacing w:val="-1"/>
          <w:sz w:val="18"/>
        </w:rPr>
        <w:t>Salary</w:t>
      </w:r>
      <w:r>
        <w:rPr>
          <w:b/>
          <w:spacing w:val="-16"/>
          <w:sz w:val="18"/>
        </w:rPr>
        <w:t> </w:t>
      </w:r>
      <w:r>
        <w:rPr>
          <w:b/>
          <w:spacing w:val="-1"/>
          <w:sz w:val="18"/>
          <w:vertAlign w:val="superscript"/>
        </w:rPr>
        <w:t>(3)</w:t>
      </w:r>
    </w:p>
    <w:p>
      <w:pPr>
        <w:spacing w:after="0" w:line="208" w:lineRule="auto"/>
        <w:jc w:val="left"/>
        <w:rPr>
          <w:sz w:val="18"/>
        </w:rPr>
        <w:sectPr>
          <w:type w:val="continuous"/>
          <w:pgSz w:w="12240" w:h="15840"/>
          <w:pgMar w:header="0" w:footer="517" w:top="860" w:bottom="280" w:left="740" w:right="700"/>
          <w:cols w:num="4" w:equalWidth="0">
            <w:col w:w="878" w:space="2287"/>
            <w:col w:w="1668" w:space="40"/>
            <w:col w:w="3256" w:space="114"/>
            <w:col w:w="2557"/>
          </w:cols>
        </w:sectPr>
      </w:pPr>
    </w:p>
    <w:p>
      <w:pPr>
        <w:pStyle w:val="BodyText"/>
        <w:spacing w:before="6"/>
        <w:rPr>
          <w:b/>
          <w:sz w:val="2"/>
        </w:rPr>
      </w:pPr>
    </w:p>
    <w:tbl>
      <w:tblPr>
        <w:tblW w:w="0" w:type="auto"/>
        <w:jc w:val="left"/>
        <w:tblInd w:w="3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08"/>
        <w:gridCol w:w="2071"/>
        <w:gridCol w:w="1756"/>
        <w:gridCol w:w="1868"/>
        <w:gridCol w:w="1665"/>
      </w:tblGrid>
      <w:tr>
        <w:trPr>
          <w:trHeight w:val="265" w:hRule="atLeast"/>
        </w:trPr>
        <w:tc>
          <w:tcPr>
            <w:tcW w:w="2808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Marguerite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Nader</w:t>
            </w:r>
          </w:p>
        </w:tc>
        <w:tc>
          <w:tcPr>
            <w:tcW w:w="2071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294"/>
              <w:rPr>
                <w:sz w:val="18"/>
              </w:rPr>
            </w:pPr>
            <w:r>
              <w:rPr>
                <w:sz w:val="18"/>
              </w:rPr>
              <w:t>260,330</w:t>
            </w:r>
          </w:p>
        </w:tc>
        <w:tc>
          <w:tcPr>
            <w:tcW w:w="1756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57"/>
              <w:rPr>
                <w:sz w:val="18"/>
              </w:rPr>
            </w:pPr>
            <w:r>
              <w:rPr>
                <w:sz w:val="18"/>
              </w:rPr>
              <w:t>22,820,528</w:t>
            </w:r>
          </w:p>
        </w:tc>
        <w:tc>
          <w:tcPr>
            <w:tcW w:w="1868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05"/>
              <w:rPr>
                <w:sz w:val="18"/>
              </w:rPr>
            </w:pPr>
            <w:r>
              <w:rPr>
                <w:sz w:val="18"/>
              </w:rPr>
              <w:t>600,000</w:t>
            </w:r>
          </w:p>
        </w:tc>
        <w:tc>
          <w:tcPr>
            <w:tcW w:w="1665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38x</w:t>
            </w:r>
          </w:p>
        </w:tc>
      </w:tr>
      <w:tr>
        <w:trPr>
          <w:trHeight w:val="265" w:hRule="atLeast"/>
        </w:trPr>
        <w:tc>
          <w:tcPr>
            <w:tcW w:w="280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Paul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Seavey</w:t>
            </w:r>
          </w:p>
        </w:tc>
        <w:tc>
          <w:tcPr>
            <w:tcW w:w="207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294"/>
              <w:rPr>
                <w:sz w:val="18"/>
              </w:rPr>
            </w:pPr>
            <w:r>
              <w:rPr>
                <w:sz w:val="18"/>
              </w:rPr>
              <w:t>153,029</w:t>
            </w:r>
          </w:p>
        </w:tc>
        <w:tc>
          <w:tcPr>
            <w:tcW w:w="175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57"/>
              <w:rPr>
                <w:sz w:val="18"/>
              </w:rPr>
            </w:pPr>
            <w:r>
              <w:rPr>
                <w:sz w:val="18"/>
              </w:rPr>
              <w:t>13,414,522</w:t>
            </w:r>
          </w:p>
        </w:tc>
        <w:tc>
          <w:tcPr>
            <w:tcW w:w="186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05"/>
              <w:rPr>
                <w:sz w:val="18"/>
              </w:rPr>
            </w:pPr>
            <w:r>
              <w:rPr>
                <w:sz w:val="18"/>
              </w:rPr>
              <w:t>395,300</w:t>
            </w:r>
          </w:p>
        </w:tc>
        <w:tc>
          <w:tcPr>
            <w:tcW w:w="166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34x</w:t>
            </w:r>
          </w:p>
        </w:tc>
      </w:tr>
      <w:tr>
        <w:trPr>
          <w:trHeight w:val="265" w:hRule="atLeast"/>
        </w:trPr>
        <w:tc>
          <w:tcPr>
            <w:tcW w:w="280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Patrick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Waite</w:t>
            </w:r>
          </w:p>
        </w:tc>
        <w:tc>
          <w:tcPr>
            <w:tcW w:w="207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294"/>
              <w:rPr>
                <w:sz w:val="18"/>
              </w:rPr>
            </w:pPr>
            <w:r>
              <w:rPr>
                <w:sz w:val="18"/>
              </w:rPr>
              <w:t>215,129</w:t>
            </w:r>
          </w:p>
        </w:tc>
        <w:tc>
          <w:tcPr>
            <w:tcW w:w="175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57"/>
              <w:rPr>
                <w:sz w:val="18"/>
              </w:rPr>
            </w:pPr>
            <w:r>
              <w:rPr>
                <w:sz w:val="18"/>
              </w:rPr>
              <w:t>18,858,208</w:t>
            </w:r>
          </w:p>
        </w:tc>
        <w:tc>
          <w:tcPr>
            <w:tcW w:w="186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05"/>
              <w:rPr>
                <w:sz w:val="18"/>
              </w:rPr>
            </w:pPr>
            <w:r>
              <w:rPr>
                <w:sz w:val="18"/>
              </w:rPr>
              <w:t>395,300</w:t>
            </w:r>
          </w:p>
        </w:tc>
        <w:tc>
          <w:tcPr>
            <w:tcW w:w="166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48x</w:t>
            </w:r>
          </w:p>
        </w:tc>
      </w:tr>
      <w:tr>
        <w:trPr>
          <w:trHeight w:val="265" w:hRule="atLeast"/>
        </w:trPr>
        <w:tc>
          <w:tcPr>
            <w:tcW w:w="280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2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Roger</w:t>
            </w:r>
            <w:r>
              <w:rPr>
                <w:sz w:val="18"/>
              </w:rPr>
              <w:t> Maynard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  <w:vertAlign w:val="superscript"/>
              </w:rPr>
              <w:t>(4)</w:t>
            </w:r>
          </w:p>
        </w:tc>
        <w:tc>
          <w:tcPr>
            <w:tcW w:w="207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294"/>
              <w:rPr>
                <w:sz w:val="18"/>
              </w:rPr>
            </w:pPr>
            <w:r>
              <w:rPr>
                <w:sz w:val="18"/>
              </w:rPr>
              <w:t>269,220</w:t>
            </w:r>
          </w:p>
        </w:tc>
        <w:tc>
          <w:tcPr>
            <w:tcW w:w="175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57"/>
              <w:rPr>
                <w:sz w:val="18"/>
              </w:rPr>
            </w:pPr>
            <w:r>
              <w:rPr>
                <w:sz w:val="18"/>
              </w:rPr>
              <w:t>23,599,825</w:t>
            </w:r>
          </w:p>
        </w:tc>
        <w:tc>
          <w:tcPr>
            <w:tcW w:w="186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05"/>
              <w:rPr>
                <w:sz w:val="18"/>
              </w:rPr>
            </w:pPr>
            <w:r>
              <w:rPr>
                <w:sz w:val="18"/>
              </w:rPr>
              <w:t>395,300</w:t>
            </w:r>
          </w:p>
        </w:tc>
        <w:tc>
          <w:tcPr>
            <w:tcW w:w="166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60x</w:t>
            </w:r>
          </w:p>
        </w:tc>
      </w:tr>
      <w:tr>
        <w:trPr>
          <w:trHeight w:val="265" w:hRule="atLeast"/>
        </w:trPr>
        <w:tc>
          <w:tcPr>
            <w:tcW w:w="280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David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Eldersveld</w:t>
            </w:r>
          </w:p>
        </w:tc>
        <w:tc>
          <w:tcPr>
            <w:tcW w:w="207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294"/>
              <w:rPr>
                <w:sz w:val="18"/>
              </w:rPr>
            </w:pPr>
            <w:r>
              <w:rPr>
                <w:sz w:val="18"/>
              </w:rPr>
              <w:t>70,466</w:t>
            </w:r>
          </w:p>
        </w:tc>
        <w:tc>
          <w:tcPr>
            <w:tcW w:w="175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57"/>
              <w:rPr>
                <w:sz w:val="18"/>
              </w:rPr>
            </w:pPr>
            <w:r>
              <w:rPr>
                <w:sz w:val="18"/>
              </w:rPr>
              <w:t>6,177,050</w:t>
            </w:r>
          </w:p>
        </w:tc>
        <w:tc>
          <w:tcPr>
            <w:tcW w:w="186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right="505"/>
              <w:rPr>
                <w:sz w:val="18"/>
              </w:rPr>
            </w:pPr>
            <w:r>
              <w:rPr>
                <w:sz w:val="18"/>
              </w:rPr>
              <w:t>395,300</w:t>
            </w:r>
          </w:p>
        </w:tc>
        <w:tc>
          <w:tcPr>
            <w:tcW w:w="166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07" w:lineRule="exact" w:before="38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16x</w:t>
            </w:r>
          </w:p>
        </w:tc>
      </w:tr>
      <w:tr>
        <w:trPr>
          <w:trHeight w:val="264" w:hRule="atLeast"/>
        </w:trPr>
        <w:tc>
          <w:tcPr>
            <w:tcW w:w="2808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3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NEOs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group</w:t>
            </w:r>
          </w:p>
        </w:tc>
        <w:tc>
          <w:tcPr>
            <w:tcW w:w="2071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38"/>
              <w:ind w:right="294"/>
              <w:rPr>
                <w:sz w:val="18"/>
              </w:rPr>
            </w:pPr>
            <w:r>
              <w:rPr>
                <w:sz w:val="18"/>
              </w:rPr>
              <w:t>968,174</w:t>
            </w:r>
          </w:p>
        </w:tc>
        <w:tc>
          <w:tcPr>
            <w:tcW w:w="1756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38"/>
              <w:ind w:right="557"/>
              <w:rPr>
                <w:sz w:val="18"/>
              </w:rPr>
            </w:pPr>
            <w:r>
              <w:rPr>
                <w:sz w:val="18"/>
              </w:rPr>
              <w:t>84,870,133</w:t>
            </w:r>
          </w:p>
        </w:tc>
        <w:tc>
          <w:tcPr>
            <w:tcW w:w="1868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38"/>
              <w:ind w:right="505"/>
              <w:rPr>
                <w:sz w:val="18"/>
              </w:rPr>
            </w:pPr>
            <w:r>
              <w:rPr>
                <w:sz w:val="18"/>
              </w:rPr>
              <w:t>2,181,200</w:t>
            </w:r>
          </w:p>
        </w:tc>
        <w:tc>
          <w:tcPr>
            <w:tcW w:w="1665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07" w:lineRule="exact" w:before="38"/>
              <w:ind w:left="509"/>
              <w:jc w:val="left"/>
              <w:rPr>
                <w:sz w:val="18"/>
              </w:rPr>
            </w:pPr>
            <w:r>
              <w:rPr>
                <w:sz w:val="18"/>
              </w:rPr>
              <w:t>39x</w:t>
            </w:r>
          </w:p>
        </w:tc>
      </w:tr>
    </w:tbl>
    <w:p>
      <w:pPr>
        <w:pStyle w:val="BodyText"/>
        <w:spacing w:before="5"/>
        <w:rPr>
          <w:b/>
          <w:sz w:val="8"/>
        </w:rPr>
      </w:pPr>
    </w:p>
    <w:p>
      <w:pPr>
        <w:pStyle w:val="ListParagraph"/>
        <w:numPr>
          <w:ilvl w:val="1"/>
          <w:numId w:val="15"/>
        </w:numPr>
        <w:tabs>
          <w:tab w:pos="1150" w:val="left" w:leader="none"/>
        </w:tabs>
        <w:spacing w:line="249" w:lineRule="auto" w:before="95" w:after="0"/>
        <w:ind w:left="1150" w:right="498" w:hanging="360"/>
        <w:jc w:val="left"/>
        <w:rPr>
          <w:sz w:val="16"/>
        </w:rPr>
      </w:pPr>
      <w:r>
        <w:rPr>
          <w:sz w:val="16"/>
        </w:rPr>
        <w:t>Shares of Common Stock beneficially owned as of the Record Date. See the "Security Ownership of Management and Directors"</w:t>
      </w:r>
      <w:r>
        <w:rPr>
          <w:spacing w:val="-42"/>
          <w:sz w:val="16"/>
        </w:rPr>
        <w:t> </w:t>
      </w:r>
      <w:r>
        <w:rPr>
          <w:sz w:val="16"/>
        </w:rPr>
        <w:t>section</w:t>
      </w:r>
      <w:r>
        <w:rPr>
          <w:spacing w:val="-2"/>
          <w:sz w:val="16"/>
        </w:rPr>
        <w:t> </w:t>
      </w:r>
      <w:r>
        <w:rPr>
          <w:sz w:val="16"/>
        </w:rPr>
        <w:t>of this Proxy Statement for more</w:t>
      </w:r>
      <w:r>
        <w:rPr>
          <w:spacing w:val="-2"/>
          <w:sz w:val="16"/>
        </w:rPr>
        <w:t> </w:t>
      </w:r>
      <w:r>
        <w:rPr>
          <w:sz w:val="16"/>
        </w:rPr>
        <w:t>information.</w:t>
      </w:r>
    </w:p>
    <w:p>
      <w:pPr>
        <w:pStyle w:val="ListParagraph"/>
        <w:numPr>
          <w:ilvl w:val="1"/>
          <w:numId w:val="15"/>
        </w:numPr>
        <w:tabs>
          <w:tab w:pos="1150" w:val="left" w:leader="none"/>
        </w:tabs>
        <w:spacing w:line="240" w:lineRule="auto" w:before="1" w:after="0"/>
        <w:ind w:left="1150" w:right="0" w:hanging="360"/>
        <w:jc w:val="left"/>
        <w:rPr>
          <w:sz w:val="16"/>
        </w:rPr>
      </w:pP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value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total</w:t>
      </w:r>
      <w:r>
        <w:rPr>
          <w:spacing w:val="-2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beneficially</w:t>
      </w:r>
      <w:r>
        <w:rPr>
          <w:spacing w:val="-3"/>
          <w:sz w:val="16"/>
        </w:rPr>
        <w:t> </w:t>
      </w:r>
      <w:r>
        <w:rPr>
          <w:sz w:val="16"/>
        </w:rPr>
        <w:t>owned</w:t>
      </w:r>
      <w:r>
        <w:rPr>
          <w:spacing w:val="-3"/>
          <w:sz w:val="16"/>
        </w:rPr>
        <w:t> </w:t>
      </w:r>
      <w:r>
        <w:rPr>
          <w:sz w:val="16"/>
        </w:rPr>
        <w:t>as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Record</w:t>
      </w:r>
      <w:r>
        <w:rPr>
          <w:spacing w:val="-3"/>
          <w:sz w:val="16"/>
        </w:rPr>
        <w:t> </w:t>
      </w:r>
      <w:r>
        <w:rPr>
          <w:sz w:val="16"/>
        </w:rPr>
        <w:t>Date</w:t>
      </w:r>
      <w:r>
        <w:rPr>
          <w:spacing w:val="-4"/>
          <w:sz w:val="16"/>
        </w:rPr>
        <w:t> </w:t>
      </w:r>
      <w:r>
        <w:rPr>
          <w:sz w:val="16"/>
        </w:rPr>
        <w:t>using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Company’s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3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closing</w:t>
      </w:r>
      <w:r>
        <w:rPr>
          <w:spacing w:val="-3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price</w:t>
      </w:r>
      <w:r>
        <w:rPr>
          <w:spacing w:val="-3"/>
          <w:sz w:val="16"/>
        </w:rPr>
        <w:t> </w:t>
      </w:r>
      <w:r>
        <w:rPr>
          <w:sz w:val="16"/>
        </w:rPr>
        <w:t>of</w:t>
      </w:r>
    </w:p>
    <w:p>
      <w:pPr>
        <w:spacing w:before="8"/>
        <w:ind w:left="1150" w:right="0" w:firstLine="0"/>
        <w:jc w:val="left"/>
        <w:rPr>
          <w:sz w:val="16"/>
        </w:rPr>
      </w:pPr>
      <w:r>
        <w:rPr>
          <w:sz w:val="16"/>
        </w:rPr>
        <w:t>$87.66</w:t>
      </w:r>
      <w:r>
        <w:rPr>
          <w:spacing w:val="-5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December</w:t>
      </w:r>
      <w:r>
        <w:rPr>
          <w:spacing w:val="-3"/>
          <w:sz w:val="16"/>
        </w:rPr>
        <w:t> </w:t>
      </w:r>
      <w:r>
        <w:rPr>
          <w:sz w:val="16"/>
        </w:rPr>
        <w:t>31,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ListParagraph"/>
        <w:numPr>
          <w:ilvl w:val="1"/>
          <w:numId w:val="15"/>
        </w:numPr>
        <w:tabs>
          <w:tab w:pos="1150" w:val="left" w:leader="none"/>
        </w:tabs>
        <w:spacing w:line="240" w:lineRule="auto" w:before="8" w:after="0"/>
        <w:ind w:left="1150" w:right="0" w:hanging="360"/>
        <w:jc w:val="left"/>
        <w:rPr>
          <w:sz w:val="16"/>
        </w:rPr>
      </w:pP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value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total</w:t>
      </w:r>
      <w:r>
        <w:rPr>
          <w:spacing w:val="-3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beneficially</w:t>
      </w:r>
      <w:r>
        <w:rPr>
          <w:spacing w:val="-3"/>
          <w:sz w:val="16"/>
        </w:rPr>
        <w:t> </w:t>
      </w:r>
      <w:r>
        <w:rPr>
          <w:sz w:val="16"/>
        </w:rPr>
        <w:t>owned</w:t>
      </w:r>
      <w:r>
        <w:rPr>
          <w:spacing w:val="-4"/>
          <w:sz w:val="16"/>
        </w:rPr>
        <w:t> </w:t>
      </w:r>
      <w:r>
        <w:rPr>
          <w:sz w:val="16"/>
        </w:rPr>
        <w:t>as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Record</w:t>
      </w:r>
      <w:r>
        <w:rPr>
          <w:spacing w:val="-4"/>
          <w:sz w:val="16"/>
        </w:rPr>
        <w:t> </w:t>
      </w:r>
      <w:r>
        <w:rPr>
          <w:sz w:val="16"/>
        </w:rPr>
        <w:t>Date</w:t>
      </w:r>
      <w:r>
        <w:rPr>
          <w:spacing w:val="-4"/>
          <w:sz w:val="16"/>
        </w:rPr>
        <w:t> </w:t>
      </w:r>
      <w:r>
        <w:rPr>
          <w:sz w:val="16"/>
        </w:rPr>
        <w:t>as</w:t>
      </w:r>
      <w:r>
        <w:rPr>
          <w:spacing w:val="-3"/>
          <w:sz w:val="16"/>
        </w:rPr>
        <w:t> </w:t>
      </w:r>
      <w:r>
        <w:rPr>
          <w:sz w:val="16"/>
        </w:rPr>
        <w:t>compared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NEO's</w:t>
      </w:r>
      <w:r>
        <w:rPr>
          <w:spacing w:val="-7"/>
          <w:sz w:val="16"/>
        </w:rPr>
        <w:t> </w:t>
      </w:r>
      <w:r>
        <w:rPr>
          <w:sz w:val="16"/>
        </w:rPr>
        <w:t>2021</w:t>
      </w:r>
      <w:r>
        <w:rPr>
          <w:spacing w:val="-4"/>
          <w:sz w:val="16"/>
        </w:rPr>
        <w:t> </w:t>
      </w:r>
      <w:r>
        <w:rPr>
          <w:sz w:val="16"/>
        </w:rPr>
        <w:t>Base</w:t>
      </w:r>
      <w:r>
        <w:rPr>
          <w:spacing w:val="-4"/>
          <w:sz w:val="16"/>
        </w:rPr>
        <w:t> </w:t>
      </w:r>
      <w:r>
        <w:rPr>
          <w:sz w:val="16"/>
        </w:rPr>
        <w:t>Salary.</w:t>
      </w:r>
    </w:p>
    <w:p>
      <w:pPr>
        <w:pStyle w:val="ListParagraph"/>
        <w:numPr>
          <w:ilvl w:val="1"/>
          <w:numId w:val="15"/>
        </w:numPr>
        <w:tabs>
          <w:tab w:pos="1150" w:val="left" w:leader="none"/>
        </w:tabs>
        <w:spacing w:line="240" w:lineRule="auto" w:before="8" w:after="0"/>
        <w:ind w:left="1150" w:right="0" w:hanging="360"/>
        <w:jc w:val="left"/>
        <w:rPr>
          <w:sz w:val="16"/>
        </w:rPr>
      </w:pPr>
      <w:r>
        <w:rPr>
          <w:sz w:val="16"/>
        </w:rPr>
        <w:t>In</w:t>
      </w:r>
      <w:r>
        <w:rPr>
          <w:spacing w:val="-5"/>
          <w:sz w:val="16"/>
        </w:rPr>
        <w:t> </w:t>
      </w:r>
      <w:r>
        <w:rPr>
          <w:sz w:val="16"/>
        </w:rPr>
        <w:t>conjunction</w:t>
      </w:r>
      <w:r>
        <w:rPr>
          <w:spacing w:val="-5"/>
          <w:sz w:val="16"/>
        </w:rPr>
        <w:t> </w:t>
      </w:r>
      <w:r>
        <w:rPr>
          <w:sz w:val="16"/>
        </w:rPr>
        <w:t>with</w:t>
      </w:r>
      <w:r>
        <w:rPr>
          <w:spacing w:val="-4"/>
          <w:sz w:val="16"/>
        </w:rPr>
        <w:t> </w:t>
      </w:r>
      <w:r>
        <w:rPr>
          <w:sz w:val="16"/>
        </w:rPr>
        <w:t>his</w:t>
      </w:r>
      <w:r>
        <w:rPr>
          <w:spacing w:val="-4"/>
          <w:sz w:val="16"/>
        </w:rPr>
        <w:t> </w:t>
      </w:r>
      <w:r>
        <w:rPr>
          <w:sz w:val="16"/>
        </w:rPr>
        <w:t>retirement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5"/>
          <w:sz w:val="16"/>
        </w:rPr>
        <w:t> </w:t>
      </w:r>
      <w:r>
        <w:rPr>
          <w:sz w:val="16"/>
        </w:rPr>
        <w:t>March</w:t>
      </w:r>
      <w:r>
        <w:rPr>
          <w:spacing w:val="-4"/>
          <w:sz w:val="16"/>
        </w:rPr>
        <w:t> </w:t>
      </w:r>
      <w:r>
        <w:rPr>
          <w:sz w:val="16"/>
        </w:rPr>
        <w:t>31,</w:t>
      </w:r>
      <w:r>
        <w:rPr>
          <w:spacing w:val="-4"/>
          <w:sz w:val="16"/>
        </w:rPr>
        <w:t> </w:t>
      </w:r>
      <w:r>
        <w:rPr>
          <w:sz w:val="16"/>
        </w:rPr>
        <w:t>2022,</w:t>
      </w:r>
      <w:r>
        <w:rPr>
          <w:spacing w:val="-4"/>
          <w:sz w:val="16"/>
        </w:rPr>
        <w:t> </w:t>
      </w:r>
      <w:r>
        <w:rPr>
          <w:sz w:val="16"/>
        </w:rPr>
        <w:t>Mr.</w:t>
      </w:r>
      <w:r>
        <w:rPr>
          <w:spacing w:val="-3"/>
          <w:sz w:val="16"/>
        </w:rPr>
        <w:t> </w:t>
      </w:r>
      <w:r>
        <w:rPr>
          <w:sz w:val="16"/>
        </w:rPr>
        <w:t>Maynard</w:t>
      </w:r>
      <w:r>
        <w:rPr>
          <w:spacing w:val="-5"/>
          <w:sz w:val="16"/>
        </w:rPr>
        <w:t> </w:t>
      </w:r>
      <w:r>
        <w:rPr>
          <w:sz w:val="16"/>
        </w:rPr>
        <w:t>will</w:t>
      </w:r>
      <w:r>
        <w:rPr>
          <w:spacing w:val="-3"/>
          <w:sz w:val="16"/>
        </w:rPr>
        <w:t> </w:t>
      </w:r>
      <w:r>
        <w:rPr>
          <w:sz w:val="16"/>
        </w:rPr>
        <w:t>forfeit</w:t>
      </w:r>
      <w:r>
        <w:rPr>
          <w:spacing w:val="-4"/>
          <w:sz w:val="16"/>
        </w:rPr>
        <w:t> </w:t>
      </w:r>
      <w:r>
        <w:rPr>
          <w:sz w:val="16"/>
        </w:rPr>
        <w:t>11,881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unvested</w:t>
      </w:r>
      <w:r>
        <w:rPr>
          <w:spacing w:val="-4"/>
          <w:sz w:val="16"/>
        </w:rPr>
        <w:t> </w:t>
      </w:r>
      <w:r>
        <w:rPr>
          <w:sz w:val="16"/>
        </w:rPr>
        <w:t>restricted</w:t>
      </w:r>
      <w:r>
        <w:rPr>
          <w:spacing w:val="-5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Stock.</w:t>
      </w:r>
    </w:p>
    <w:p>
      <w:pPr>
        <w:pStyle w:val="BodyText"/>
        <w:rPr>
          <w:sz w:val="17"/>
        </w:rPr>
      </w:pPr>
    </w:p>
    <w:p>
      <w:pPr>
        <w:pStyle w:val="Heading3"/>
      </w:pPr>
      <w:r>
        <w:rPr>
          <w:color w:val="00539E"/>
        </w:rPr>
        <w:t>What</w:t>
      </w:r>
      <w:r>
        <w:rPr>
          <w:color w:val="00539E"/>
          <w:spacing w:val="-4"/>
        </w:rPr>
        <w:t> </w:t>
      </w:r>
      <w:r>
        <w:rPr>
          <w:color w:val="00539E"/>
        </w:rPr>
        <w:t>Our</w:t>
      </w:r>
      <w:r>
        <w:rPr>
          <w:color w:val="00539E"/>
          <w:spacing w:val="-3"/>
        </w:rPr>
        <w:t> </w:t>
      </w:r>
      <w:r>
        <w:rPr>
          <w:color w:val="00539E"/>
        </w:rPr>
        <w:t>Compensation</w:t>
      </w:r>
      <w:r>
        <w:rPr>
          <w:color w:val="00539E"/>
          <w:spacing w:val="-4"/>
        </w:rPr>
        <w:t> </w:t>
      </w:r>
      <w:r>
        <w:rPr>
          <w:color w:val="00539E"/>
        </w:rPr>
        <w:t>Program</w:t>
      </w:r>
      <w:r>
        <w:rPr>
          <w:color w:val="00539E"/>
          <w:spacing w:val="-4"/>
        </w:rPr>
        <w:t> </w:t>
      </w:r>
      <w:r>
        <w:rPr>
          <w:color w:val="00539E"/>
        </w:rPr>
        <w:t>is</w:t>
      </w:r>
      <w:r>
        <w:rPr>
          <w:color w:val="00539E"/>
          <w:spacing w:val="-3"/>
        </w:rPr>
        <w:t> </w:t>
      </w:r>
      <w:r>
        <w:rPr>
          <w:color w:val="00539E"/>
        </w:rPr>
        <w:t>Designed</w:t>
      </w:r>
      <w:r>
        <w:rPr>
          <w:color w:val="00539E"/>
          <w:spacing w:val="-4"/>
        </w:rPr>
        <w:t> </w:t>
      </w:r>
      <w:r>
        <w:rPr>
          <w:color w:val="00539E"/>
        </w:rPr>
        <w:t>to</w:t>
      </w:r>
      <w:r>
        <w:rPr>
          <w:color w:val="00539E"/>
          <w:spacing w:val="-5"/>
        </w:rPr>
        <w:t> </w:t>
      </w:r>
      <w:r>
        <w:rPr>
          <w:color w:val="00539E"/>
        </w:rPr>
        <w:t>Reward</w:t>
      </w:r>
    </w:p>
    <w:p>
      <w:pPr>
        <w:pStyle w:val="BodyText"/>
        <w:spacing w:line="249" w:lineRule="auto" w:before="215"/>
        <w:ind w:left="250" w:right="293"/>
      </w:pPr>
      <w:r>
        <w:rPr/>
        <w:t>Our</w:t>
      </w:r>
      <w:r>
        <w:rPr>
          <w:spacing w:val="1"/>
        </w:rPr>
        <w:t> </w:t>
      </w:r>
      <w:r>
        <w:rPr/>
        <w:t>compensation</w:t>
      </w:r>
      <w:r>
        <w:rPr>
          <w:spacing w:val="2"/>
        </w:rPr>
        <w:t> </w:t>
      </w:r>
      <w:r>
        <w:rPr/>
        <w:t>program</w:t>
      </w:r>
      <w:r>
        <w:rPr>
          <w:spacing w:val="2"/>
        </w:rPr>
        <w:t> </w:t>
      </w:r>
      <w:r>
        <w:rPr/>
        <w:t>is</w:t>
      </w:r>
      <w:r>
        <w:rPr>
          <w:spacing w:val="2"/>
        </w:rPr>
        <w:t> </w:t>
      </w:r>
      <w:r>
        <w:rPr/>
        <w:t>designed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reward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NEOs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contributions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Company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for</w:t>
      </w:r>
      <w:r>
        <w:rPr>
          <w:spacing w:val="1"/>
        </w:rPr>
        <w:t> </w:t>
      </w:r>
      <w:r>
        <w:rPr/>
        <w:t>achieving improvements in the Company's performance during the year. The Compensation Committee deliberately</w:t>
      </w:r>
      <w:r>
        <w:rPr>
          <w:spacing w:val="-53"/>
        </w:rPr>
        <w:t> </w:t>
      </w:r>
      <w:r>
        <w:rPr/>
        <w:t>kept Base Salaries at a relatively small percentage of total compensation.</w:t>
      </w:r>
      <w:r>
        <w:rPr>
          <w:spacing w:val="1"/>
        </w:rPr>
        <w:t> </w:t>
      </w:r>
      <w:r>
        <w:rPr/>
        <w:t>This enables the Compensation</w:t>
      </w:r>
      <w:r>
        <w:rPr>
          <w:spacing w:val="1"/>
        </w:rPr>
        <w:t> </w:t>
      </w:r>
      <w:r>
        <w:rPr/>
        <w:t>Committee to reward each NEO’s performance through annual Cash Bonus awards and equity incentives such as</w:t>
      </w:r>
      <w:r>
        <w:rPr>
          <w:spacing w:val="1"/>
        </w:rPr>
        <w:t> </w:t>
      </w:r>
      <w:r>
        <w:rPr/>
        <w:t>Restricted Common Stock awards. The annual Cash Bonus plan for each NEO is established by the Compensation</w:t>
      </w:r>
      <w:r>
        <w:rPr>
          <w:spacing w:val="1"/>
        </w:rPr>
        <w:t> </w:t>
      </w:r>
      <w:r>
        <w:rPr/>
        <w:t>Committee after a review of performance goal recommendations from the CEO, who receives input on such</w:t>
      </w:r>
      <w:r>
        <w:rPr>
          <w:spacing w:val="1"/>
        </w:rPr>
        <w:t> </w:t>
      </w:r>
      <w:r>
        <w:rPr/>
        <w:t>performance goal recommendations from each NEO.</w:t>
      </w:r>
      <w:r>
        <w:rPr>
          <w:spacing w:val="1"/>
        </w:rPr>
        <w:t> </w:t>
      </w:r>
      <w:r>
        <w:rPr/>
        <w:t>Restricted Common Stock awards are designed to provide</w:t>
      </w:r>
      <w:r>
        <w:rPr>
          <w:spacing w:val="1"/>
        </w:rPr>
        <w:t> </w:t>
      </w:r>
      <w:r>
        <w:rPr/>
        <w:t>incentives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NEOs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ensure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successful</w:t>
      </w:r>
      <w:r>
        <w:rPr>
          <w:spacing w:val="-4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long-term</w:t>
      </w:r>
      <w:r>
        <w:rPr>
          <w:spacing w:val="-5"/>
        </w:rPr>
        <w:t> </w:t>
      </w:r>
      <w:r>
        <w:rPr/>
        <w:t>strategic</w:t>
      </w:r>
      <w:r>
        <w:rPr>
          <w:spacing w:val="-4"/>
        </w:rPr>
        <w:t> </w:t>
      </w:r>
      <w:r>
        <w:rPr/>
        <w:t>goals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to</w:t>
      </w:r>
    </w:p>
    <w:p>
      <w:pPr>
        <w:spacing w:after="0" w:line="249" w:lineRule="auto"/>
        <w:sectPr>
          <w:type w:val="continuous"/>
          <w:pgSz w:w="12240" w:h="15840"/>
          <w:pgMar w:header="0" w:footer="517" w:top="860" w:bottom="280" w:left="740" w:right="700"/>
        </w:sectPr>
      </w:pPr>
    </w:p>
    <w:p>
      <w:pPr>
        <w:pStyle w:val="BodyText"/>
        <w:spacing w:line="249" w:lineRule="auto" w:before="73"/>
        <w:ind w:left="250"/>
      </w:pPr>
      <w:r>
        <w:rPr/>
        <w:t>provide for the retention of such NEOs. Awards of Restricted Common Stock are determined and approved by the</w:t>
      </w:r>
      <w:r>
        <w:rPr>
          <w:spacing w:val="-53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Committee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input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CEO.</w:t>
      </w:r>
    </w:p>
    <w:p>
      <w:pPr>
        <w:pStyle w:val="Heading3"/>
        <w:spacing w:before="197"/>
      </w:pPr>
      <w:r>
        <w:rPr>
          <w:color w:val="00539E"/>
        </w:rPr>
        <w:t>Peer</w:t>
      </w:r>
      <w:r>
        <w:rPr>
          <w:color w:val="00539E"/>
          <w:spacing w:val="-3"/>
        </w:rPr>
        <w:t> </w:t>
      </w:r>
      <w:r>
        <w:rPr>
          <w:color w:val="00539E"/>
        </w:rPr>
        <w:t>Group</w:t>
      </w:r>
    </w:p>
    <w:p>
      <w:pPr>
        <w:pStyle w:val="BodyText"/>
        <w:spacing w:line="249" w:lineRule="auto" w:before="215"/>
        <w:ind w:left="250" w:right="282"/>
      </w:pPr>
      <w:r>
        <w:rPr/>
        <w:t>The Company's peer group of sixteen companies remained consistent with prior years. When selecting and re-</w:t>
      </w:r>
      <w:r>
        <w:rPr>
          <w:spacing w:val="1"/>
        </w:rPr>
        <w:t> </w:t>
      </w:r>
      <w:r>
        <w:rPr/>
        <w:t>assessing this peer group, the Compensation Committee took into consideration factors including market</w:t>
      </w:r>
      <w:r>
        <w:rPr>
          <w:spacing w:val="1"/>
        </w:rPr>
        <w:t> </w:t>
      </w:r>
      <w:r>
        <w:rPr/>
        <w:t>capitalization, three-year and five-year total returns, dividend yields, compounded annual funds from operations</w:t>
      </w:r>
      <w:r>
        <w:rPr>
          <w:spacing w:val="1"/>
        </w:rPr>
        <w:t> </w:t>
      </w:r>
      <w:r>
        <w:rPr/>
        <w:t>growth rates, and multiples. The following tables show the Company's peer group for 2021 and our one-year, three-</w:t>
      </w:r>
      <w:r>
        <w:rPr>
          <w:spacing w:val="-53"/>
        </w:rPr>
        <w:t> </w:t>
      </w:r>
      <w:r>
        <w:rPr/>
        <w:t>year and five-year stockholder returns in comparison to the median and average stockholder returns for the peer</w:t>
      </w:r>
      <w:r>
        <w:rPr>
          <w:spacing w:val="1"/>
        </w:rPr>
        <w:t> </w:t>
      </w:r>
      <w:r>
        <w:rPr/>
        <w:t>group.</w:t>
      </w:r>
    </w:p>
    <w:p>
      <w:pPr>
        <w:pStyle w:val="BodyText"/>
        <w:spacing w:before="3"/>
        <w:rPr>
          <w:sz w:val="18"/>
        </w:rPr>
      </w:pPr>
    </w:p>
    <w:p>
      <w:pPr>
        <w:tabs>
          <w:tab w:pos="9473" w:val="left" w:leader="none"/>
        </w:tabs>
        <w:spacing w:before="1"/>
        <w:ind w:left="407" w:right="0" w:firstLine="0"/>
        <w:jc w:val="left"/>
        <w:rPr>
          <w:b/>
          <w:sz w:val="18"/>
        </w:rPr>
      </w:pPr>
      <w:r>
        <w:rPr/>
        <w:pict>
          <v:group style="position:absolute;margin-left:54.75pt;margin-top:11.381907pt;width:502.5pt;height:1pt;mso-position-horizontal-relative:page;mso-position-vertical-relative:paragraph;z-index:-15702528;mso-wrap-distance-left:0;mso-wrap-distance-right:0" id="docshapegroup62" coordorigin="1095,228" coordsize="10050,20">
            <v:shape style="position:absolute;left:1095;top:237;width:10050;height:2" id="docshape63" coordorigin="1095,238" coordsize="10050,0" path="m11145,238l1095,238e" filled="true" fillcolor="#000000" stroked="false">
              <v:path arrowok="t"/>
              <v:fill opacity="0f" type="solid"/>
            </v:shape>
            <v:line style="position:absolute" from="1095,238" to="11145,238" stroked="true" strokeweight="1pt" strokecolor="#00539e">
              <v:stroke dashstyle="solid"/>
            </v:line>
            <w10:wrap type="topAndBottom"/>
          </v:group>
        </w:pict>
      </w:r>
      <w:r>
        <w:rPr>
          <w:b/>
          <w:sz w:val="18"/>
        </w:rPr>
        <w:t>Peer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Company</w:t>
        <w:tab/>
        <w:t>REIT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Type</w:t>
      </w:r>
    </w:p>
    <w:p>
      <w:pPr>
        <w:tabs>
          <w:tab w:pos="9463" w:val="left" w:leader="none"/>
        </w:tabs>
        <w:spacing w:before="53" w:after="20"/>
        <w:ind w:left="407" w:right="0" w:firstLine="0"/>
        <w:jc w:val="left"/>
        <w:rPr>
          <w:sz w:val="18"/>
        </w:rPr>
      </w:pPr>
      <w:r>
        <w:rPr>
          <w:sz w:val="18"/>
        </w:rPr>
        <w:t>American</w:t>
      </w:r>
      <w:r>
        <w:rPr>
          <w:spacing w:val="-3"/>
          <w:sz w:val="18"/>
        </w:rPr>
        <w:t> </w:t>
      </w:r>
      <w:r>
        <w:rPr>
          <w:sz w:val="18"/>
        </w:rPr>
        <w:t>Campus</w:t>
      </w:r>
      <w:r>
        <w:rPr>
          <w:spacing w:val="-3"/>
          <w:sz w:val="18"/>
        </w:rPr>
        <w:t> </w:t>
      </w:r>
      <w:r>
        <w:rPr>
          <w:sz w:val="18"/>
        </w:rPr>
        <w:t>Communities,</w:t>
      </w:r>
      <w:r>
        <w:rPr>
          <w:spacing w:val="-3"/>
          <w:sz w:val="18"/>
        </w:rPr>
        <w:t> </w:t>
      </w:r>
      <w:r>
        <w:rPr>
          <w:sz w:val="18"/>
        </w:rPr>
        <w:t>Inc.</w:t>
      </w:r>
      <w:r>
        <w:rPr>
          <w:spacing w:val="-3"/>
          <w:sz w:val="18"/>
        </w:rPr>
        <w:t> </w:t>
      </w:r>
      <w:r>
        <w:rPr>
          <w:sz w:val="18"/>
        </w:rPr>
        <w:t>(ACC)</w:t>
        <w:tab/>
        <w:t>Residential</w: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502.5pt;height:1pt;mso-position-horizontal-relative:char;mso-position-vertical-relative:line" id="docshapegroup64" coordorigin="0,0" coordsize="10050,20">
            <v:shape style="position:absolute;left:0;top:10;width:10050;height:2" id="docshape65" coordorigin="0,10" coordsize="10050,0" path="m10050,10l0,10e" filled="true" fillcolor="#000000" stroked="false">
              <v:path arrowok="t"/>
              <v:fill opacity="0f" type="solid"/>
            </v:shape>
            <v:line style="position:absolute" from="0,10" to="10050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463" w:val="left" w:leader="none"/>
        </w:tabs>
        <w:spacing w:before="53"/>
        <w:ind w:left="407" w:right="0" w:firstLine="0"/>
        <w:jc w:val="left"/>
        <w:rPr>
          <w:sz w:val="18"/>
        </w:rPr>
      </w:pPr>
      <w:r>
        <w:rPr/>
        <w:pict>
          <v:group style="position:absolute;margin-left:54.75pt;margin-top:13.981907pt;width:502.5pt;height:1pt;mso-position-horizontal-relative:page;mso-position-vertical-relative:paragraph;z-index:-15701504;mso-wrap-distance-left:0;mso-wrap-distance-right:0" id="docshapegroup66" coordorigin="1095,280" coordsize="10050,20">
            <v:shape style="position:absolute;left:1095;top:289;width:10050;height:2" id="docshape67" coordorigin="1095,290" coordsize="10050,0" path="m11145,290l1095,290e" filled="true" fillcolor="#000000" stroked="false">
              <v:path arrowok="t"/>
              <v:fill opacity="0f" type="solid"/>
            </v:shape>
            <v:line style="position:absolute" from="1095,290" to="11145,290" stroked="true" strokeweight="1pt" strokecolor="#888a8c">
              <v:stroke dashstyle="solid"/>
            </v:line>
            <w10:wrap type="topAndBottom"/>
          </v:group>
        </w:pict>
      </w:r>
      <w:r>
        <w:rPr>
          <w:sz w:val="18"/>
        </w:rPr>
        <w:t>Apartment</w:t>
      </w:r>
      <w:r>
        <w:rPr>
          <w:spacing w:val="-4"/>
          <w:sz w:val="18"/>
        </w:rPr>
        <w:t> </w:t>
      </w:r>
      <w:r>
        <w:rPr>
          <w:sz w:val="18"/>
        </w:rPr>
        <w:t>Investment</w:t>
      </w:r>
      <w:r>
        <w:rPr>
          <w:spacing w:val="-3"/>
          <w:sz w:val="18"/>
        </w:rPr>
        <w:t> </w:t>
      </w:r>
      <w:r>
        <w:rPr>
          <w:sz w:val="18"/>
        </w:rPr>
        <w:t>and</w:t>
      </w:r>
      <w:r>
        <w:rPr>
          <w:spacing w:val="-3"/>
          <w:sz w:val="18"/>
        </w:rPr>
        <w:t> </w:t>
      </w:r>
      <w:r>
        <w:rPr>
          <w:sz w:val="18"/>
        </w:rPr>
        <w:t>Management</w:t>
      </w:r>
      <w:r>
        <w:rPr>
          <w:spacing w:val="-3"/>
          <w:sz w:val="18"/>
        </w:rPr>
        <w:t> </w:t>
      </w:r>
      <w:r>
        <w:rPr>
          <w:sz w:val="18"/>
        </w:rPr>
        <w:t>Company</w:t>
      </w:r>
      <w:r>
        <w:rPr>
          <w:spacing w:val="-3"/>
          <w:sz w:val="18"/>
        </w:rPr>
        <w:t> </w:t>
      </w:r>
      <w:r>
        <w:rPr>
          <w:sz w:val="18"/>
        </w:rPr>
        <w:t>(AIV)</w:t>
        <w:tab/>
        <w:t>Residential</w:t>
      </w:r>
    </w:p>
    <w:p>
      <w:pPr>
        <w:tabs>
          <w:tab w:pos="9463" w:val="left" w:leader="none"/>
        </w:tabs>
        <w:spacing w:before="53" w:after="20"/>
        <w:ind w:left="407" w:right="0" w:firstLine="0"/>
        <w:jc w:val="left"/>
        <w:rPr>
          <w:sz w:val="18"/>
        </w:rPr>
      </w:pPr>
      <w:r>
        <w:rPr>
          <w:sz w:val="18"/>
        </w:rPr>
        <w:t>Camden</w:t>
      </w:r>
      <w:r>
        <w:rPr>
          <w:spacing w:val="-4"/>
          <w:sz w:val="18"/>
        </w:rPr>
        <w:t> </w:t>
      </w:r>
      <w:r>
        <w:rPr>
          <w:sz w:val="18"/>
        </w:rPr>
        <w:t>Property</w:t>
      </w:r>
      <w:r>
        <w:rPr>
          <w:spacing w:val="-7"/>
          <w:sz w:val="18"/>
        </w:rPr>
        <w:t> </w:t>
      </w:r>
      <w:r>
        <w:rPr>
          <w:sz w:val="18"/>
        </w:rPr>
        <w:t>Trust</w:t>
      </w:r>
      <w:r>
        <w:rPr>
          <w:spacing w:val="-3"/>
          <w:sz w:val="18"/>
        </w:rPr>
        <w:t> </w:t>
      </w:r>
      <w:r>
        <w:rPr>
          <w:sz w:val="18"/>
        </w:rPr>
        <w:t>(CPT)</w:t>
        <w:tab/>
        <w:t>Residential</w: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502.5pt;height:1pt;mso-position-horizontal-relative:char;mso-position-vertical-relative:line" id="docshapegroup68" coordorigin="0,0" coordsize="10050,20">
            <v:shape style="position:absolute;left:0;top:10;width:10050;height:2" id="docshape69" coordorigin="0,10" coordsize="10050,0" path="m10050,10l0,10e" filled="true" fillcolor="#000000" stroked="false">
              <v:path arrowok="t"/>
              <v:fill opacity="0f" type="solid"/>
            </v:shape>
            <v:line style="position:absolute" from="0,10" to="10050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885" w:val="left" w:leader="none"/>
        </w:tabs>
        <w:spacing w:before="53"/>
        <w:ind w:left="407" w:right="0" w:firstLine="0"/>
        <w:jc w:val="left"/>
        <w:rPr>
          <w:sz w:val="18"/>
        </w:rPr>
      </w:pPr>
      <w:r>
        <w:rPr/>
        <w:pict>
          <v:group style="position:absolute;margin-left:54.75pt;margin-top:13.981907pt;width:502.5pt;height:1pt;mso-position-horizontal-relative:page;mso-position-vertical-relative:paragraph;z-index:-15700480;mso-wrap-distance-left:0;mso-wrap-distance-right:0" id="docshapegroup70" coordorigin="1095,280" coordsize="10050,20">
            <v:shape style="position:absolute;left:1095;top:289;width:10050;height:2" id="docshape71" coordorigin="1095,290" coordsize="10050,0" path="m11145,290l1095,290e" filled="true" fillcolor="#000000" stroked="false">
              <v:path arrowok="t"/>
              <v:fill opacity="0f" type="solid"/>
            </v:shape>
            <v:line style="position:absolute" from="1095,290" to="11145,290" stroked="true" strokeweight="1pt" strokecolor="#888a8c">
              <v:stroke dashstyle="solid"/>
            </v:line>
            <w10:wrap type="topAndBottom"/>
          </v:group>
        </w:pict>
      </w:r>
      <w:r>
        <w:rPr>
          <w:sz w:val="18"/>
        </w:rPr>
        <w:t>Corporate</w:t>
      </w:r>
      <w:r>
        <w:rPr>
          <w:spacing w:val="-4"/>
          <w:sz w:val="18"/>
        </w:rPr>
        <w:t> </w:t>
      </w:r>
      <w:r>
        <w:rPr>
          <w:sz w:val="18"/>
        </w:rPr>
        <w:t>Office</w:t>
      </w:r>
      <w:r>
        <w:rPr>
          <w:spacing w:val="-5"/>
          <w:sz w:val="18"/>
        </w:rPr>
        <w:t> </w:t>
      </w:r>
      <w:r>
        <w:rPr>
          <w:sz w:val="18"/>
        </w:rPr>
        <w:t>Properties</w:t>
      </w:r>
      <w:r>
        <w:rPr>
          <w:spacing w:val="-7"/>
          <w:sz w:val="18"/>
        </w:rPr>
        <w:t> </w:t>
      </w:r>
      <w:r>
        <w:rPr>
          <w:sz w:val="18"/>
        </w:rPr>
        <w:t>Trust</w:t>
      </w:r>
      <w:r>
        <w:rPr>
          <w:spacing w:val="-4"/>
          <w:sz w:val="18"/>
        </w:rPr>
        <w:t> </w:t>
      </w:r>
      <w:r>
        <w:rPr>
          <w:sz w:val="18"/>
        </w:rPr>
        <w:t>(OFC)</w:t>
        <w:tab/>
        <w:t>Office</w:t>
      </w:r>
    </w:p>
    <w:p>
      <w:pPr>
        <w:tabs>
          <w:tab w:pos="9352" w:val="left" w:leader="none"/>
        </w:tabs>
        <w:spacing w:before="53" w:after="20"/>
        <w:ind w:left="407" w:right="0" w:firstLine="0"/>
        <w:jc w:val="left"/>
        <w:rPr>
          <w:sz w:val="18"/>
        </w:rPr>
      </w:pPr>
      <w:r>
        <w:rPr>
          <w:sz w:val="18"/>
        </w:rPr>
        <w:t>CubeSmart</w:t>
      </w:r>
      <w:r>
        <w:rPr>
          <w:spacing w:val="-3"/>
          <w:sz w:val="18"/>
        </w:rPr>
        <w:t> </w:t>
      </w:r>
      <w:r>
        <w:rPr>
          <w:sz w:val="18"/>
        </w:rPr>
        <w:t>(CUBE)</w:t>
        <w:tab/>
        <w:t>Self-Storage</w: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502.5pt;height:1pt;mso-position-horizontal-relative:char;mso-position-vertical-relative:line" id="docshapegroup72" coordorigin="0,0" coordsize="10050,20">
            <v:shape style="position:absolute;left:0;top:10;width:10050;height:2" id="docshape73" coordorigin="0,10" coordsize="10050,0" path="m10050,10l0,10e" filled="true" fillcolor="#000000" stroked="false">
              <v:path arrowok="t"/>
              <v:fill opacity="0f" type="solid"/>
            </v:shape>
            <v:line style="position:absolute" from="0,10" to="10050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622" w:val="left" w:leader="none"/>
        </w:tabs>
        <w:spacing w:before="53"/>
        <w:ind w:left="407" w:right="0" w:firstLine="0"/>
        <w:jc w:val="left"/>
        <w:rPr>
          <w:sz w:val="18"/>
        </w:rPr>
      </w:pPr>
      <w:r>
        <w:rPr/>
        <w:pict>
          <v:group style="position:absolute;margin-left:54.75pt;margin-top:13.981907pt;width:502.5pt;height:1pt;mso-position-horizontal-relative:page;mso-position-vertical-relative:paragraph;z-index:-15699456;mso-wrap-distance-left:0;mso-wrap-distance-right:0" id="docshapegroup74" coordorigin="1095,280" coordsize="10050,20">
            <v:shape style="position:absolute;left:1095;top:289;width:10050;height:2" id="docshape75" coordorigin="1095,290" coordsize="10050,0" path="m11145,290l1095,290e" filled="true" fillcolor="#000000" stroked="false">
              <v:path arrowok="t"/>
              <v:fill opacity="0f" type="solid"/>
            </v:shape>
            <v:line style="position:absolute" from="1095,290" to="11145,290" stroked="true" strokeweight="1pt" strokecolor="#888a8c">
              <v:stroke dashstyle="solid"/>
            </v:line>
            <w10:wrap type="topAndBottom"/>
          </v:group>
        </w:pict>
      </w:r>
      <w:r>
        <w:rPr>
          <w:sz w:val="18"/>
        </w:rPr>
        <w:t>Duke</w:t>
      </w:r>
      <w:r>
        <w:rPr>
          <w:spacing w:val="-3"/>
          <w:sz w:val="18"/>
        </w:rPr>
        <w:t> </w:t>
      </w:r>
      <w:r>
        <w:rPr>
          <w:sz w:val="18"/>
        </w:rPr>
        <w:t>Realty</w:t>
      </w:r>
      <w:r>
        <w:rPr>
          <w:spacing w:val="-3"/>
          <w:sz w:val="18"/>
        </w:rPr>
        <w:t> </w:t>
      </w:r>
      <w:r>
        <w:rPr>
          <w:sz w:val="18"/>
        </w:rPr>
        <w:t>Corporation</w:t>
      </w:r>
      <w:r>
        <w:rPr>
          <w:spacing w:val="-3"/>
          <w:sz w:val="18"/>
        </w:rPr>
        <w:t> </w:t>
      </w:r>
      <w:r>
        <w:rPr>
          <w:sz w:val="18"/>
        </w:rPr>
        <w:t>(DRE)</w:t>
        <w:tab/>
        <w:t>Industrial</w:t>
      </w:r>
    </w:p>
    <w:p>
      <w:pPr>
        <w:tabs>
          <w:tab w:pos="9463" w:val="left" w:leader="none"/>
        </w:tabs>
        <w:spacing w:before="53" w:after="20"/>
        <w:ind w:left="407" w:right="0" w:firstLine="0"/>
        <w:jc w:val="left"/>
        <w:rPr>
          <w:sz w:val="18"/>
        </w:rPr>
      </w:pPr>
      <w:r>
        <w:rPr>
          <w:sz w:val="18"/>
        </w:rPr>
        <w:t>Equity</w:t>
      </w:r>
      <w:r>
        <w:rPr>
          <w:spacing w:val="-3"/>
          <w:sz w:val="18"/>
        </w:rPr>
        <w:t> </w:t>
      </w:r>
      <w:r>
        <w:rPr>
          <w:sz w:val="18"/>
        </w:rPr>
        <w:t>Residential</w:t>
      </w:r>
      <w:r>
        <w:rPr>
          <w:spacing w:val="-3"/>
          <w:sz w:val="18"/>
        </w:rPr>
        <w:t> </w:t>
      </w:r>
      <w:r>
        <w:rPr>
          <w:sz w:val="18"/>
        </w:rPr>
        <w:t>(EQR)</w:t>
        <w:tab/>
        <w:t>Residential</w: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502.5pt;height:1pt;mso-position-horizontal-relative:char;mso-position-vertical-relative:line" id="docshapegroup76" coordorigin="0,0" coordsize="10050,20">
            <v:shape style="position:absolute;left:0;top:10;width:10050;height:2" id="docshape77" coordorigin="0,10" coordsize="10050,0" path="m10050,10l0,10e" filled="true" fillcolor="#000000" stroked="false">
              <v:path arrowok="t"/>
              <v:fill opacity="0f" type="solid"/>
            </v:shape>
            <v:line style="position:absolute" from="0,10" to="10050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463" w:val="left" w:leader="none"/>
        </w:tabs>
        <w:spacing w:before="53"/>
        <w:ind w:left="407" w:right="0" w:firstLine="0"/>
        <w:jc w:val="left"/>
        <w:rPr>
          <w:sz w:val="18"/>
        </w:rPr>
      </w:pPr>
      <w:r>
        <w:rPr/>
        <w:pict>
          <v:group style="position:absolute;margin-left:54.75pt;margin-top:13.981907pt;width:502.5pt;height:1pt;mso-position-horizontal-relative:page;mso-position-vertical-relative:paragraph;z-index:-15698432;mso-wrap-distance-left:0;mso-wrap-distance-right:0" id="docshapegroup78" coordorigin="1095,280" coordsize="10050,20">
            <v:shape style="position:absolute;left:1095;top:289;width:10050;height:2" id="docshape79" coordorigin="1095,290" coordsize="10050,0" path="m11145,290l1095,290e" filled="true" fillcolor="#000000" stroked="false">
              <v:path arrowok="t"/>
              <v:fill opacity="0f" type="solid"/>
            </v:shape>
            <v:line style="position:absolute" from="1095,290" to="11145,290" stroked="true" strokeweight="1pt" strokecolor="#888a8c">
              <v:stroke dashstyle="solid"/>
            </v:line>
            <w10:wrap type="topAndBottom"/>
          </v:group>
        </w:pict>
      </w:r>
      <w:r>
        <w:rPr>
          <w:sz w:val="18"/>
        </w:rPr>
        <w:t>Essex</w:t>
      </w:r>
      <w:r>
        <w:rPr>
          <w:spacing w:val="-3"/>
          <w:sz w:val="18"/>
        </w:rPr>
        <w:t> </w:t>
      </w:r>
      <w:r>
        <w:rPr>
          <w:sz w:val="18"/>
        </w:rPr>
        <w:t>Property</w:t>
      </w:r>
      <w:r>
        <w:rPr>
          <w:spacing w:val="-6"/>
          <w:sz w:val="18"/>
        </w:rPr>
        <w:t> </w:t>
      </w:r>
      <w:r>
        <w:rPr>
          <w:sz w:val="18"/>
        </w:rPr>
        <w:t>Trust,</w:t>
      </w:r>
      <w:r>
        <w:rPr>
          <w:spacing w:val="-2"/>
          <w:sz w:val="18"/>
        </w:rPr>
        <w:t> </w:t>
      </w:r>
      <w:r>
        <w:rPr>
          <w:sz w:val="18"/>
        </w:rPr>
        <w:t>Inc.</w:t>
      </w:r>
      <w:r>
        <w:rPr>
          <w:spacing w:val="-2"/>
          <w:sz w:val="18"/>
        </w:rPr>
        <w:t> </w:t>
      </w:r>
      <w:r>
        <w:rPr>
          <w:sz w:val="18"/>
        </w:rPr>
        <w:t>(ESS)</w:t>
        <w:tab/>
        <w:t>Residential</w:t>
      </w:r>
    </w:p>
    <w:p>
      <w:pPr>
        <w:tabs>
          <w:tab w:pos="9352" w:val="left" w:leader="none"/>
        </w:tabs>
        <w:spacing w:before="53" w:after="20"/>
        <w:ind w:left="407" w:right="0" w:firstLine="0"/>
        <w:jc w:val="left"/>
        <w:rPr>
          <w:sz w:val="18"/>
        </w:rPr>
      </w:pPr>
      <w:r>
        <w:rPr>
          <w:sz w:val="18"/>
        </w:rPr>
        <w:t>Extra</w:t>
      </w:r>
      <w:r>
        <w:rPr>
          <w:spacing w:val="-2"/>
          <w:sz w:val="18"/>
        </w:rPr>
        <w:t> </w:t>
      </w:r>
      <w:r>
        <w:rPr>
          <w:sz w:val="18"/>
        </w:rPr>
        <w:t>Space</w:t>
      </w:r>
      <w:r>
        <w:rPr>
          <w:spacing w:val="-1"/>
          <w:sz w:val="18"/>
        </w:rPr>
        <w:t> </w:t>
      </w:r>
      <w:r>
        <w:rPr>
          <w:sz w:val="18"/>
        </w:rPr>
        <w:t>Storage,</w:t>
      </w:r>
      <w:r>
        <w:rPr>
          <w:spacing w:val="-1"/>
          <w:sz w:val="18"/>
        </w:rPr>
        <w:t> </w:t>
      </w:r>
      <w:r>
        <w:rPr>
          <w:sz w:val="18"/>
        </w:rPr>
        <w:t>Inc.</w:t>
      </w:r>
      <w:r>
        <w:rPr>
          <w:spacing w:val="-2"/>
          <w:sz w:val="18"/>
        </w:rPr>
        <w:t> </w:t>
      </w:r>
      <w:r>
        <w:rPr>
          <w:sz w:val="18"/>
        </w:rPr>
        <w:t>(EXR)</w:t>
        <w:tab/>
        <w:t>Self-Storage</w: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502.5pt;height:1pt;mso-position-horizontal-relative:char;mso-position-vertical-relative:line" id="docshapegroup80" coordorigin="0,0" coordsize="10050,20">
            <v:shape style="position:absolute;left:0;top:10;width:10050;height:2" id="docshape81" coordorigin="0,10" coordsize="10050,0" path="m10050,10l0,10e" filled="true" fillcolor="#000000" stroked="false">
              <v:path arrowok="t"/>
              <v:fill opacity="0f" type="solid"/>
            </v:shape>
            <v:line style="position:absolute" from="0,10" to="10050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622" w:val="left" w:leader="none"/>
        </w:tabs>
        <w:spacing w:before="53"/>
        <w:ind w:left="407" w:right="0" w:firstLine="0"/>
        <w:jc w:val="left"/>
        <w:rPr>
          <w:sz w:val="18"/>
        </w:rPr>
      </w:pPr>
      <w:r>
        <w:rPr/>
        <w:pict>
          <v:group style="position:absolute;margin-left:54.75pt;margin-top:13.981907pt;width:502.5pt;height:1pt;mso-position-horizontal-relative:page;mso-position-vertical-relative:paragraph;z-index:-15697408;mso-wrap-distance-left:0;mso-wrap-distance-right:0" id="docshapegroup82" coordorigin="1095,280" coordsize="10050,20">
            <v:shape style="position:absolute;left:1095;top:289;width:10050;height:2" id="docshape83" coordorigin="1095,290" coordsize="10050,0" path="m11145,290l1095,290e" filled="true" fillcolor="#000000" stroked="false">
              <v:path arrowok="t"/>
              <v:fill opacity="0f" type="solid"/>
            </v:shape>
            <v:line style="position:absolute" from="1095,290" to="11145,290" stroked="true" strokeweight="1pt" strokecolor="#888a8c">
              <v:stroke dashstyle="solid"/>
            </v:line>
            <w10:wrap type="topAndBottom"/>
          </v:group>
        </w:pict>
      </w:r>
      <w:r>
        <w:rPr>
          <w:sz w:val="18"/>
        </w:rPr>
        <w:t>First</w:t>
      </w:r>
      <w:r>
        <w:rPr>
          <w:spacing w:val="-4"/>
          <w:sz w:val="18"/>
        </w:rPr>
        <w:t> </w:t>
      </w:r>
      <w:r>
        <w:rPr>
          <w:sz w:val="18"/>
        </w:rPr>
        <w:t>Industrial</w:t>
      </w:r>
      <w:r>
        <w:rPr>
          <w:spacing w:val="-3"/>
          <w:sz w:val="18"/>
        </w:rPr>
        <w:t> </w:t>
      </w:r>
      <w:r>
        <w:rPr>
          <w:sz w:val="18"/>
        </w:rPr>
        <w:t>Realty</w:t>
      </w:r>
      <w:r>
        <w:rPr>
          <w:spacing w:val="-7"/>
          <w:sz w:val="18"/>
        </w:rPr>
        <w:t> </w:t>
      </w:r>
      <w:r>
        <w:rPr>
          <w:sz w:val="18"/>
        </w:rPr>
        <w:t>Trust</w:t>
      </w:r>
      <w:r>
        <w:rPr>
          <w:spacing w:val="-3"/>
          <w:sz w:val="18"/>
        </w:rPr>
        <w:t> </w:t>
      </w:r>
      <w:r>
        <w:rPr>
          <w:sz w:val="18"/>
        </w:rPr>
        <w:t>(FR)</w:t>
        <w:tab/>
        <w:t>Industrial</w:t>
      </w:r>
    </w:p>
    <w:p>
      <w:pPr>
        <w:tabs>
          <w:tab w:pos="9885" w:val="left" w:leader="none"/>
        </w:tabs>
        <w:spacing w:before="53" w:after="20"/>
        <w:ind w:left="407" w:right="0" w:firstLine="0"/>
        <w:jc w:val="left"/>
        <w:rPr>
          <w:sz w:val="18"/>
        </w:rPr>
      </w:pPr>
      <w:r>
        <w:rPr>
          <w:sz w:val="18"/>
        </w:rPr>
        <w:t>Highwoods</w:t>
      </w:r>
      <w:r>
        <w:rPr>
          <w:spacing w:val="-3"/>
          <w:sz w:val="18"/>
        </w:rPr>
        <w:t> </w:t>
      </w:r>
      <w:r>
        <w:rPr>
          <w:sz w:val="18"/>
        </w:rPr>
        <w:t>Properties,</w:t>
      </w:r>
      <w:r>
        <w:rPr>
          <w:spacing w:val="-3"/>
          <w:sz w:val="18"/>
        </w:rPr>
        <w:t> </w:t>
      </w:r>
      <w:r>
        <w:rPr>
          <w:sz w:val="18"/>
        </w:rPr>
        <w:t>Inc.</w:t>
      </w:r>
      <w:r>
        <w:rPr>
          <w:spacing w:val="-3"/>
          <w:sz w:val="18"/>
        </w:rPr>
        <w:t> </w:t>
      </w:r>
      <w:r>
        <w:rPr>
          <w:sz w:val="18"/>
        </w:rPr>
        <w:t>(HIW)</w:t>
        <w:tab/>
        <w:t>Office</w: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502.5pt;height:1pt;mso-position-horizontal-relative:char;mso-position-vertical-relative:line" id="docshapegroup84" coordorigin="0,0" coordsize="10050,20">
            <v:shape style="position:absolute;left:0;top:10;width:10050;height:2" id="docshape85" coordorigin="0,10" coordsize="10050,0" path="m10050,10l0,10e" filled="true" fillcolor="#000000" stroked="false">
              <v:path arrowok="t"/>
              <v:fill opacity="0f" type="solid"/>
            </v:shape>
            <v:line style="position:absolute" from="0,10" to="10050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892" w:val="left" w:leader="none"/>
        </w:tabs>
        <w:spacing w:before="53"/>
        <w:ind w:left="407" w:right="0" w:firstLine="0"/>
        <w:jc w:val="left"/>
        <w:rPr>
          <w:sz w:val="18"/>
        </w:rPr>
      </w:pPr>
      <w:r>
        <w:rPr/>
        <w:pict>
          <v:group style="position:absolute;margin-left:54.75pt;margin-top:13.981907pt;width:502.5pt;height:1pt;mso-position-horizontal-relative:page;mso-position-vertical-relative:paragraph;z-index:-15696384;mso-wrap-distance-left:0;mso-wrap-distance-right:0" id="docshapegroup86" coordorigin="1095,280" coordsize="10050,20">
            <v:shape style="position:absolute;left:1095;top:289;width:10050;height:2" id="docshape87" coordorigin="1095,290" coordsize="10050,0" path="m11145,290l1095,290e" filled="true" fillcolor="#000000" stroked="false">
              <v:path arrowok="t"/>
              <v:fill opacity="0f" type="solid"/>
            </v:shape>
            <v:line style="position:absolute" from="1095,290" to="11145,290" stroked="true" strokeweight="1pt" strokecolor="#888a8c">
              <v:stroke dashstyle="solid"/>
            </v:line>
            <w10:wrap type="topAndBottom"/>
          </v:group>
        </w:pict>
      </w:r>
      <w:r>
        <w:rPr>
          <w:sz w:val="18"/>
        </w:rPr>
        <w:t>Regency</w:t>
      </w:r>
      <w:r>
        <w:rPr>
          <w:spacing w:val="-4"/>
          <w:sz w:val="18"/>
        </w:rPr>
        <w:t> </w:t>
      </w:r>
      <w:r>
        <w:rPr>
          <w:sz w:val="18"/>
        </w:rPr>
        <w:t>Centers</w:t>
      </w:r>
      <w:r>
        <w:rPr>
          <w:spacing w:val="-3"/>
          <w:sz w:val="18"/>
        </w:rPr>
        <w:t> </w:t>
      </w:r>
      <w:r>
        <w:rPr>
          <w:sz w:val="18"/>
        </w:rPr>
        <w:t>Corporation</w:t>
      </w:r>
      <w:r>
        <w:rPr>
          <w:spacing w:val="-4"/>
          <w:sz w:val="18"/>
        </w:rPr>
        <w:t> </w:t>
      </w:r>
      <w:r>
        <w:rPr>
          <w:sz w:val="18"/>
        </w:rPr>
        <w:t>(REG)</w:t>
        <w:tab/>
        <w:t>Retail</w:t>
      </w:r>
    </w:p>
    <w:p>
      <w:pPr>
        <w:tabs>
          <w:tab w:pos="9892" w:val="left" w:leader="none"/>
        </w:tabs>
        <w:spacing w:before="53" w:after="20"/>
        <w:ind w:left="407" w:right="0" w:firstLine="0"/>
        <w:jc w:val="left"/>
        <w:rPr>
          <w:sz w:val="18"/>
        </w:rPr>
      </w:pPr>
      <w:r>
        <w:rPr>
          <w:sz w:val="18"/>
        </w:rPr>
        <w:t>Simon</w:t>
      </w:r>
      <w:r>
        <w:rPr>
          <w:spacing w:val="-2"/>
          <w:sz w:val="18"/>
        </w:rPr>
        <w:t> </w:t>
      </w:r>
      <w:r>
        <w:rPr>
          <w:sz w:val="18"/>
        </w:rPr>
        <w:t>Property</w:t>
      </w:r>
      <w:r>
        <w:rPr>
          <w:spacing w:val="-1"/>
          <w:sz w:val="18"/>
        </w:rPr>
        <w:t> </w:t>
      </w:r>
      <w:r>
        <w:rPr>
          <w:sz w:val="18"/>
        </w:rPr>
        <w:t>Group</w:t>
      </w:r>
      <w:r>
        <w:rPr>
          <w:spacing w:val="-2"/>
          <w:sz w:val="18"/>
        </w:rPr>
        <w:t> </w:t>
      </w:r>
      <w:r>
        <w:rPr>
          <w:sz w:val="18"/>
        </w:rPr>
        <w:t>(SPG)</w:t>
        <w:tab/>
        <w:t>Retail</w: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502.5pt;height:1pt;mso-position-horizontal-relative:char;mso-position-vertical-relative:line" id="docshapegroup88" coordorigin="0,0" coordsize="10050,20">
            <v:shape style="position:absolute;left:0;top:10;width:10050;height:2" id="docshape89" coordorigin="0,10" coordsize="10050,0" path="m10050,10l0,10e" filled="true" fillcolor="#000000" stroked="false">
              <v:path arrowok="t"/>
              <v:fill opacity="0f" type="solid"/>
            </v:shape>
            <v:line style="position:absolute" from="0,10" to="10050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463" w:val="left" w:leader="none"/>
        </w:tabs>
        <w:spacing w:before="53"/>
        <w:ind w:left="407" w:right="0" w:firstLine="0"/>
        <w:jc w:val="left"/>
        <w:rPr>
          <w:sz w:val="18"/>
        </w:rPr>
      </w:pPr>
      <w:r>
        <w:rPr/>
        <w:pict>
          <v:group style="position:absolute;margin-left:54.75pt;margin-top:13.981907pt;width:502.5pt;height:1pt;mso-position-horizontal-relative:page;mso-position-vertical-relative:paragraph;z-index:-15695360;mso-wrap-distance-left:0;mso-wrap-distance-right:0" id="docshapegroup90" coordorigin="1095,280" coordsize="10050,20">
            <v:shape style="position:absolute;left:1095;top:289;width:10050;height:2" id="docshape91" coordorigin="1095,290" coordsize="10050,0" path="m11145,290l1095,290e" filled="true" fillcolor="#000000" stroked="false">
              <v:path arrowok="t"/>
              <v:fill opacity="0f" type="solid"/>
            </v:shape>
            <v:line style="position:absolute" from="1095,290" to="11145,290" stroked="true" strokeweight="1pt" strokecolor="#888a8c">
              <v:stroke dashstyle="solid"/>
            </v:line>
            <w10:wrap type="topAndBottom"/>
          </v:group>
        </w:pict>
      </w:r>
      <w:r>
        <w:rPr>
          <w:sz w:val="18"/>
        </w:rPr>
        <w:t>UDR,</w:t>
      </w:r>
      <w:r>
        <w:rPr>
          <w:spacing w:val="-2"/>
          <w:sz w:val="18"/>
        </w:rPr>
        <w:t> </w:t>
      </w:r>
      <w:r>
        <w:rPr>
          <w:sz w:val="18"/>
        </w:rPr>
        <w:t>Inc.</w:t>
      </w:r>
      <w:r>
        <w:rPr>
          <w:spacing w:val="-2"/>
          <w:sz w:val="18"/>
        </w:rPr>
        <w:t> </w:t>
      </w:r>
      <w:r>
        <w:rPr>
          <w:sz w:val="18"/>
        </w:rPr>
        <w:t>(UDR)</w:t>
        <w:tab/>
        <w:t>Residential</w:t>
      </w:r>
    </w:p>
    <w:p>
      <w:pPr>
        <w:tabs>
          <w:tab w:pos="9513" w:val="left" w:leader="none"/>
        </w:tabs>
        <w:spacing w:before="53" w:after="20"/>
        <w:ind w:left="407" w:right="0" w:firstLine="0"/>
        <w:jc w:val="left"/>
        <w:rPr>
          <w:sz w:val="18"/>
        </w:rPr>
      </w:pPr>
      <w:r>
        <w:rPr>
          <w:sz w:val="18"/>
        </w:rPr>
        <w:t>Veris</w:t>
      </w:r>
      <w:r>
        <w:rPr>
          <w:spacing w:val="-5"/>
          <w:sz w:val="18"/>
        </w:rPr>
        <w:t> </w:t>
      </w:r>
      <w:r>
        <w:rPr>
          <w:sz w:val="18"/>
        </w:rPr>
        <w:t>Residential,</w:t>
      </w:r>
      <w:r>
        <w:rPr>
          <w:spacing w:val="-4"/>
          <w:sz w:val="18"/>
        </w:rPr>
        <w:t> </w:t>
      </w:r>
      <w:r>
        <w:rPr>
          <w:sz w:val="18"/>
        </w:rPr>
        <w:t>Inc.</w:t>
      </w:r>
      <w:r>
        <w:rPr>
          <w:spacing w:val="-4"/>
          <w:sz w:val="18"/>
        </w:rPr>
        <w:t> </w:t>
      </w:r>
      <w:r>
        <w:rPr>
          <w:sz w:val="18"/>
        </w:rPr>
        <w:t>(formerly</w:t>
      </w:r>
      <w:r>
        <w:rPr>
          <w:spacing w:val="-4"/>
          <w:sz w:val="18"/>
        </w:rPr>
        <w:t> </w:t>
      </w:r>
      <w:r>
        <w:rPr>
          <w:sz w:val="18"/>
        </w:rPr>
        <w:t>known</w:t>
      </w:r>
      <w:r>
        <w:rPr>
          <w:spacing w:val="-4"/>
          <w:sz w:val="18"/>
        </w:rPr>
        <w:t> </w:t>
      </w:r>
      <w:r>
        <w:rPr>
          <w:sz w:val="18"/>
        </w:rPr>
        <w:t>as</w:t>
      </w:r>
      <w:r>
        <w:rPr>
          <w:spacing w:val="-4"/>
          <w:sz w:val="18"/>
        </w:rPr>
        <w:t> </w:t>
      </w:r>
      <w:r>
        <w:rPr>
          <w:sz w:val="18"/>
        </w:rPr>
        <w:t>Mack-Cali</w:t>
      </w:r>
      <w:r>
        <w:rPr>
          <w:spacing w:val="-5"/>
          <w:sz w:val="18"/>
        </w:rPr>
        <w:t> </w:t>
      </w:r>
      <w:r>
        <w:rPr>
          <w:sz w:val="18"/>
        </w:rPr>
        <w:t>Realty</w:t>
      </w:r>
      <w:r>
        <w:rPr>
          <w:spacing w:val="-4"/>
          <w:sz w:val="18"/>
        </w:rPr>
        <w:t> </w:t>
      </w:r>
      <w:r>
        <w:rPr>
          <w:sz w:val="18"/>
        </w:rPr>
        <w:t>Corporation)</w:t>
      </w:r>
      <w:r>
        <w:rPr>
          <w:spacing w:val="-4"/>
          <w:sz w:val="18"/>
        </w:rPr>
        <w:t> </w:t>
      </w:r>
      <w:r>
        <w:rPr>
          <w:sz w:val="18"/>
        </w:rPr>
        <w:t>(VRE)</w:t>
        <w:tab/>
        <w:t>Diversified</w:t>
      </w:r>
    </w:p>
    <w:p>
      <w:pPr>
        <w:pStyle w:val="BodyText"/>
        <w:spacing w:line="20" w:lineRule="exact"/>
        <w:ind w:left="345"/>
        <w:rPr>
          <w:sz w:val="2"/>
        </w:rPr>
      </w:pPr>
      <w:r>
        <w:rPr>
          <w:sz w:val="2"/>
        </w:rPr>
        <w:pict>
          <v:group style="width:502.5pt;height:1pt;mso-position-horizontal-relative:char;mso-position-vertical-relative:line" id="docshapegroup92" coordorigin="0,0" coordsize="10050,20">
            <v:shape style="position:absolute;left:0;top:10;width:10050;height:2" id="docshape93" coordorigin="0,10" coordsize="10050,0" path="m10050,10l0,10e" filled="true" fillcolor="#000000" stroked="false">
              <v:path arrowok="t"/>
              <v:fill opacity="0f" type="solid"/>
            </v:shape>
            <v:line style="position:absolute" from="0,10" to="10050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9513" w:val="left" w:leader="none"/>
        </w:tabs>
        <w:spacing w:before="53"/>
        <w:ind w:left="407" w:right="0" w:firstLine="0"/>
        <w:jc w:val="left"/>
        <w:rPr>
          <w:sz w:val="18"/>
        </w:rPr>
      </w:pPr>
      <w:r>
        <w:rPr/>
        <w:pict>
          <v:group style="position:absolute;margin-left:54.75pt;margin-top:13.981907pt;width:502.5pt;height:1pt;mso-position-horizontal-relative:page;mso-position-vertical-relative:paragraph;z-index:-15694336;mso-wrap-distance-left:0;mso-wrap-distance-right:0" id="docshapegroup94" coordorigin="1095,280" coordsize="10050,20">
            <v:shape style="position:absolute;left:1095;top:289;width:10050;height:2" id="docshape95" coordorigin="1095,290" coordsize="10050,0" path="m11145,290l1095,290e" filled="true" fillcolor="#000000" stroked="false">
              <v:path arrowok="t"/>
              <v:fill opacity="0f" type="solid"/>
            </v:shape>
            <v:line style="position:absolute" from="1095,290" to="11145,290" stroked="true" strokeweight="1pt" strokecolor="#00539e">
              <v:stroke dashstyle="solid"/>
            </v:line>
            <w10:wrap type="topAndBottom"/>
          </v:group>
        </w:pict>
      </w:r>
      <w:r>
        <w:rPr>
          <w:sz w:val="18"/>
        </w:rPr>
        <w:t>Vornado</w:t>
      </w:r>
      <w:r>
        <w:rPr>
          <w:spacing w:val="-6"/>
          <w:sz w:val="18"/>
        </w:rPr>
        <w:t> </w:t>
      </w:r>
      <w:r>
        <w:rPr>
          <w:sz w:val="18"/>
        </w:rPr>
        <w:t>Realty</w:t>
      </w:r>
      <w:r>
        <w:rPr>
          <w:spacing w:val="-9"/>
          <w:sz w:val="18"/>
        </w:rPr>
        <w:t> </w:t>
      </w:r>
      <w:r>
        <w:rPr>
          <w:sz w:val="18"/>
        </w:rPr>
        <w:t>Trust</w:t>
      </w:r>
      <w:r>
        <w:rPr>
          <w:spacing w:val="-5"/>
          <w:sz w:val="18"/>
        </w:rPr>
        <w:t> </w:t>
      </w:r>
      <w:r>
        <w:rPr>
          <w:sz w:val="18"/>
        </w:rPr>
        <w:t>(VNO)</w:t>
        <w:tab/>
        <w:t>Diversified</w:t>
      </w:r>
    </w:p>
    <w:p>
      <w:pPr>
        <w:pStyle w:val="BodyText"/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49.5pt;margin-top:11.200956pt;width:501pt;height:21.75pt;mso-position-horizontal-relative:page;mso-position-vertical-relative:paragraph;z-index:-15693824;mso-wrap-distance-left:0;mso-wrap-distance-right:0" type="#_x0000_t202" id="docshape96" filled="true" fillcolor="#00539e" stroked="false">
            <v:textbox inset="0,0,0,0">
              <w:txbxContent>
                <w:p>
                  <w:pPr>
                    <w:spacing w:before="104"/>
                    <w:ind w:left="3653" w:right="3653" w:firstLine="0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FFFFFF"/>
                      <w:spacing w:val="-1"/>
                      <w:sz w:val="20"/>
                    </w:rPr>
                    <w:t>Total</w:t>
                  </w:r>
                  <w:r>
                    <w:rPr>
                      <w:b/>
                      <w:color w:val="FFFFFF"/>
                      <w:sz w:val="20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>Stockholder</w:t>
                  </w:r>
                  <w:r>
                    <w:rPr>
                      <w:b/>
                      <w:color w:val="FFFFFF"/>
                      <w:sz w:val="20"/>
                    </w:rPr>
                    <w:t> </w:t>
                  </w:r>
                  <w:r>
                    <w:rPr>
                      <w:b/>
                      <w:color w:val="FFFFFF"/>
                      <w:spacing w:val="-1"/>
                      <w:sz w:val="20"/>
                    </w:rPr>
                    <w:t>Returns</w:t>
                  </w:r>
                  <w:r>
                    <w:rPr>
                      <w:b/>
                      <w:color w:val="FFFFFF"/>
                      <w:spacing w:val="-19"/>
                      <w:sz w:val="20"/>
                    </w:rPr>
                    <w:t> </w:t>
                  </w:r>
                  <w:r>
                    <w:rPr>
                      <w:b/>
                      <w:color w:val="FFFFFF"/>
                      <w:sz w:val="20"/>
                      <w:vertAlign w:val="superscript"/>
                    </w:rPr>
                    <w:t>(1)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3"/>
        <w:rPr>
          <w:sz w:val="7"/>
        </w:rPr>
      </w:pPr>
    </w:p>
    <w:tbl>
      <w:tblPr>
        <w:tblW w:w="0" w:type="auto"/>
        <w:jc w:val="left"/>
        <w:tblInd w:w="2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77"/>
        <w:gridCol w:w="1395"/>
        <w:gridCol w:w="1672"/>
        <w:gridCol w:w="1225"/>
      </w:tblGrid>
      <w:tr>
        <w:trPr>
          <w:trHeight w:val="257" w:hRule="atLeast"/>
        </w:trPr>
        <w:tc>
          <w:tcPr>
            <w:tcW w:w="537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95" w:type="dxa"/>
          </w:tcPr>
          <w:p>
            <w:pPr>
              <w:pStyle w:val="TableParagraph"/>
              <w:spacing w:line="201" w:lineRule="exact" w:before="0"/>
              <w:ind w:right="364"/>
              <w:rPr>
                <w:b/>
                <w:sz w:val="18"/>
              </w:rPr>
            </w:pPr>
            <w:r>
              <w:rPr>
                <w:b/>
                <w:sz w:val="18"/>
              </w:rPr>
              <w:t>One-Year</w:t>
            </w:r>
          </w:p>
        </w:tc>
        <w:tc>
          <w:tcPr>
            <w:tcW w:w="1672" w:type="dxa"/>
          </w:tcPr>
          <w:p>
            <w:pPr>
              <w:pStyle w:val="TableParagraph"/>
              <w:spacing w:line="201" w:lineRule="exact" w:before="0"/>
              <w:ind w:left="347" w:right="34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Three-Year</w:t>
            </w:r>
          </w:p>
        </w:tc>
        <w:tc>
          <w:tcPr>
            <w:tcW w:w="1225" w:type="dxa"/>
          </w:tcPr>
          <w:p>
            <w:pPr>
              <w:pStyle w:val="TableParagraph"/>
              <w:spacing w:line="201" w:lineRule="exact" w:before="0"/>
              <w:ind w:right="46"/>
              <w:rPr>
                <w:b/>
                <w:sz w:val="18"/>
              </w:rPr>
            </w:pPr>
            <w:r>
              <w:rPr>
                <w:b/>
                <w:sz w:val="18"/>
              </w:rPr>
              <w:t>Five-Year</w:t>
            </w:r>
          </w:p>
        </w:tc>
      </w:tr>
      <w:tr>
        <w:trPr>
          <w:trHeight w:val="315" w:hRule="atLeast"/>
        </w:trPr>
        <w:tc>
          <w:tcPr>
            <w:tcW w:w="5377" w:type="dxa"/>
          </w:tcPr>
          <w:p>
            <w:pPr>
              <w:pStyle w:val="TableParagraph"/>
              <w:spacing w:line="240" w:lineRule="auto" w:before="50"/>
              <w:ind w:left="50"/>
              <w:jc w:val="left"/>
              <w:rPr>
                <w:rFonts w:ascii="Times New Roman"/>
                <w:b/>
                <w:sz w:val="18"/>
              </w:rPr>
            </w:pPr>
            <w:r>
              <w:rPr>
                <w:b/>
                <w:sz w:val="18"/>
              </w:rPr>
              <w:t>ELS</w:t>
            </w:r>
            <w:r>
              <w:rPr>
                <w:b/>
                <w:spacing w:val="-28"/>
                <w:sz w:val="18"/>
              </w:rPr>
              <w:t> </w:t>
            </w:r>
            <w:r>
              <w:rPr>
                <w:rFonts w:ascii="Times New Roman"/>
                <w:b/>
                <w:color w:val="B3B3B3"/>
                <w:sz w:val="18"/>
              </w:rPr>
              <w:t>.........................................................................................................</w:t>
            </w:r>
          </w:p>
        </w:tc>
        <w:tc>
          <w:tcPr>
            <w:tcW w:w="1395" w:type="dxa"/>
          </w:tcPr>
          <w:p>
            <w:pPr>
              <w:pStyle w:val="TableParagraph"/>
              <w:spacing w:line="240" w:lineRule="auto" w:before="51"/>
              <w:ind w:right="442"/>
              <w:rPr>
                <w:sz w:val="18"/>
              </w:rPr>
            </w:pPr>
            <w:r>
              <w:rPr>
                <w:sz w:val="18"/>
              </w:rPr>
              <w:t>41.00%</w:t>
            </w:r>
          </w:p>
        </w:tc>
        <w:tc>
          <w:tcPr>
            <w:tcW w:w="1672" w:type="dxa"/>
          </w:tcPr>
          <w:p>
            <w:pPr>
              <w:pStyle w:val="TableParagraph"/>
              <w:spacing w:line="240" w:lineRule="auto" w:before="51"/>
              <w:ind w:left="347" w:right="306"/>
              <w:jc w:val="center"/>
              <w:rPr>
                <w:sz w:val="18"/>
              </w:rPr>
            </w:pPr>
            <w:r>
              <w:rPr>
                <w:sz w:val="18"/>
              </w:rPr>
              <w:t>91.90%</w:t>
            </w:r>
          </w:p>
        </w:tc>
        <w:tc>
          <w:tcPr>
            <w:tcW w:w="1225" w:type="dxa"/>
          </w:tcPr>
          <w:p>
            <w:pPr>
              <w:pStyle w:val="TableParagraph"/>
              <w:spacing w:line="240" w:lineRule="auto" w:before="51"/>
              <w:ind w:right="77"/>
              <w:rPr>
                <w:sz w:val="18"/>
              </w:rPr>
            </w:pPr>
            <w:r>
              <w:rPr>
                <w:sz w:val="18"/>
              </w:rPr>
              <w:t>171.00%</w:t>
            </w:r>
          </w:p>
        </w:tc>
      </w:tr>
      <w:tr>
        <w:trPr>
          <w:trHeight w:val="315" w:hRule="atLeast"/>
        </w:trPr>
        <w:tc>
          <w:tcPr>
            <w:tcW w:w="5377" w:type="dxa"/>
          </w:tcPr>
          <w:p>
            <w:pPr>
              <w:pStyle w:val="TableParagraph"/>
              <w:spacing w:line="240" w:lineRule="auto" w:before="50"/>
              <w:ind w:left="50"/>
              <w:jc w:val="left"/>
              <w:rPr>
                <w:rFonts w:ascii="Times New Roman"/>
                <w:b/>
                <w:sz w:val="18"/>
              </w:rPr>
            </w:pPr>
            <w:r>
              <w:rPr>
                <w:b/>
                <w:sz w:val="18"/>
              </w:rPr>
              <w:t>ELS Annualized</w:t>
            </w:r>
            <w:r>
              <w:rPr>
                <w:rFonts w:ascii="Times New Roman"/>
                <w:b/>
                <w:color w:val="B3B3B3"/>
                <w:sz w:val="18"/>
              </w:rPr>
              <w:t>...................................................................................</w:t>
            </w:r>
          </w:p>
        </w:tc>
        <w:tc>
          <w:tcPr>
            <w:tcW w:w="1395" w:type="dxa"/>
          </w:tcPr>
          <w:p>
            <w:pPr>
              <w:pStyle w:val="TableParagraph"/>
              <w:spacing w:line="240" w:lineRule="auto" w:before="51"/>
              <w:ind w:right="442"/>
              <w:rPr>
                <w:sz w:val="18"/>
              </w:rPr>
            </w:pPr>
            <w:r>
              <w:rPr>
                <w:sz w:val="18"/>
              </w:rPr>
              <w:t>41.00%</w:t>
            </w:r>
          </w:p>
        </w:tc>
        <w:tc>
          <w:tcPr>
            <w:tcW w:w="1672" w:type="dxa"/>
          </w:tcPr>
          <w:p>
            <w:pPr>
              <w:pStyle w:val="TableParagraph"/>
              <w:spacing w:line="240" w:lineRule="auto" w:before="51"/>
              <w:ind w:left="347" w:right="306"/>
              <w:jc w:val="center"/>
              <w:rPr>
                <w:sz w:val="18"/>
              </w:rPr>
            </w:pPr>
            <w:r>
              <w:rPr>
                <w:sz w:val="18"/>
              </w:rPr>
              <w:t>24.30%</w:t>
            </w:r>
          </w:p>
        </w:tc>
        <w:tc>
          <w:tcPr>
            <w:tcW w:w="1225" w:type="dxa"/>
          </w:tcPr>
          <w:p>
            <w:pPr>
              <w:pStyle w:val="TableParagraph"/>
              <w:spacing w:line="240" w:lineRule="auto" w:before="51"/>
              <w:ind w:right="129"/>
              <w:rPr>
                <w:sz w:val="18"/>
              </w:rPr>
            </w:pPr>
            <w:r>
              <w:rPr>
                <w:sz w:val="18"/>
              </w:rPr>
              <w:t>22.10%</w:t>
            </w:r>
          </w:p>
        </w:tc>
      </w:tr>
      <w:tr>
        <w:trPr>
          <w:trHeight w:val="315" w:hRule="atLeast"/>
        </w:trPr>
        <w:tc>
          <w:tcPr>
            <w:tcW w:w="5377" w:type="dxa"/>
          </w:tcPr>
          <w:p>
            <w:pPr>
              <w:pStyle w:val="TableParagraph"/>
              <w:spacing w:line="240" w:lineRule="auto" w:before="50"/>
              <w:ind w:left="50"/>
              <w:jc w:val="left"/>
              <w:rPr>
                <w:rFonts w:ascii="Times New Roman"/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Peer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Group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Median</w:t>
            </w:r>
            <w:r>
              <w:rPr>
                <w:b/>
                <w:spacing w:val="-24"/>
                <w:sz w:val="18"/>
              </w:rPr>
              <w:t> </w:t>
            </w:r>
            <w:r>
              <w:rPr>
                <w:rFonts w:ascii="Times New Roman"/>
                <w:b/>
                <w:color w:val="B3B3B3"/>
                <w:sz w:val="18"/>
              </w:rPr>
              <w:t>............................................................................</w:t>
            </w:r>
          </w:p>
        </w:tc>
        <w:tc>
          <w:tcPr>
            <w:tcW w:w="1395" w:type="dxa"/>
          </w:tcPr>
          <w:p>
            <w:pPr>
              <w:pStyle w:val="TableParagraph"/>
              <w:spacing w:line="240" w:lineRule="auto" w:before="51"/>
              <w:ind w:right="442"/>
              <w:rPr>
                <w:sz w:val="18"/>
              </w:rPr>
            </w:pPr>
            <w:r>
              <w:rPr>
                <w:sz w:val="18"/>
              </w:rPr>
              <w:t>58.90%</w:t>
            </w:r>
          </w:p>
        </w:tc>
        <w:tc>
          <w:tcPr>
            <w:tcW w:w="1672" w:type="dxa"/>
          </w:tcPr>
          <w:p>
            <w:pPr>
              <w:pStyle w:val="TableParagraph"/>
              <w:spacing w:line="240" w:lineRule="auto" w:before="51"/>
              <w:ind w:left="347" w:right="306"/>
              <w:jc w:val="center"/>
              <w:rPr>
                <w:sz w:val="18"/>
              </w:rPr>
            </w:pPr>
            <w:r>
              <w:rPr>
                <w:sz w:val="18"/>
              </w:rPr>
              <w:t>15.60%</w:t>
            </w:r>
          </w:p>
        </w:tc>
        <w:tc>
          <w:tcPr>
            <w:tcW w:w="1225" w:type="dxa"/>
          </w:tcPr>
          <w:p>
            <w:pPr>
              <w:pStyle w:val="TableParagraph"/>
              <w:spacing w:line="240" w:lineRule="auto" w:before="51"/>
              <w:ind w:right="178"/>
              <w:rPr>
                <w:sz w:val="18"/>
              </w:rPr>
            </w:pPr>
            <w:r>
              <w:rPr>
                <w:sz w:val="18"/>
              </w:rPr>
              <w:t>9.90%</w:t>
            </w:r>
          </w:p>
        </w:tc>
      </w:tr>
      <w:tr>
        <w:trPr>
          <w:trHeight w:val="258" w:hRule="atLeast"/>
        </w:trPr>
        <w:tc>
          <w:tcPr>
            <w:tcW w:w="5377" w:type="dxa"/>
          </w:tcPr>
          <w:p>
            <w:pPr>
              <w:pStyle w:val="TableParagraph"/>
              <w:spacing w:line="188" w:lineRule="exact" w:before="50"/>
              <w:ind w:left="50"/>
              <w:jc w:val="left"/>
              <w:rPr>
                <w:rFonts w:ascii="Times New Roman"/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>Peer</w:t>
            </w:r>
            <w:r>
              <w:rPr>
                <w:b/>
                <w:sz w:val="18"/>
              </w:rPr>
              <w:t> </w:t>
            </w:r>
            <w:r>
              <w:rPr>
                <w:b/>
                <w:spacing w:val="-1"/>
                <w:sz w:val="18"/>
              </w:rPr>
              <w:t>Group</w:t>
            </w:r>
            <w:r>
              <w:rPr>
                <w:b/>
                <w:sz w:val="18"/>
              </w:rPr>
              <w:t> Average</w:t>
            </w:r>
            <w:r>
              <w:rPr>
                <w:b/>
                <w:spacing w:val="-24"/>
                <w:sz w:val="18"/>
              </w:rPr>
              <w:t> </w:t>
            </w:r>
            <w:r>
              <w:rPr>
                <w:rFonts w:ascii="Times New Roman"/>
                <w:b/>
                <w:color w:val="B3B3B3"/>
                <w:sz w:val="18"/>
              </w:rPr>
              <w:t>..........................................................................</w:t>
            </w:r>
          </w:p>
        </w:tc>
        <w:tc>
          <w:tcPr>
            <w:tcW w:w="1395" w:type="dxa"/>
          </w:tcPr>
          <w:p>
            <w:pPr>
              <w:pStyle w:val="TableParagraph"/>
              <w:spacing w:line="187" w:lineRule="exact" w:before="51"/>
              <w:ind w:right="442"/>
              <w:rPr>
                <w:sz w:val="18"/>
              </w:rPr>
            </w:pPr>
            <w:r>
              <w:rPr>
                <w:sz w:val="18"/>
              </w:rPr>
              <w:t>56.60%</w:t>
            </w:r>
          </w:p>
        </w:tc>
        <w:tc>
          <w:tcPr>
            <w:tcW w:w="1672" w:type="dxa"/>
          </w:tcPr>
          <w:p>
            <w:pPr>
              <w:pStyle w:val="TableParagraph"/>
              <w:spacing w:line="187" w:lineRule="exact" w:before="51"/>
              <w:ind w:left="347" w:right="306"/>
              <w:jc w:val="center"/>
              <w:rPr>
                <w:sz w:val="18"/>
              </w:rPr>
            </w:pPr>
            <w:r>
              <w:rPr>
                <w:sz w:val="18"/>
              </w:rPr>
              <w:t>18.20%</w:t>
            </w:r>
          </w:p>
        </w:tc>
        <w:tc>
          <w:tcPr>
            <w:tcW w:w="1225" w:type="dxa"/>
          </w:tcPr>
          <w:p>
            <w:pPr>
              <w:pStyle w:val="TableParagraph"/>
              <w:spacing w:line="187" w:lineRule="exact" w:before="51"/>
              <w:ind w:right="129"/>
              <w:rPr>
                <w:sz w:val="18"/>
              </w:rPr>
            </w:pPr>
            <w:r>
              <w:rPr>
                <w:sz w:val="18"/>
              </w:rPr>
              <w:t>10.30%</w:t>
            </w:r>
          </w:p>
        </w:tc>
      </w:tr>
    </w:tbl>
    <w:p>
      <w:pPr>
        <w:pStyle w:val="BodyText"/>
        <w:rPr>
          <w:sz w:val="7"/>
        </w:rPr>
      </w:pPr>
    </w:p>
    <w:p>
      <w:pPr>
        <w:spacing w:line="249" w:lineRule="auto" w:before="116"/>
        <w:ind w:left="520" w:right="349" w:hanging="270"/>
        <w:jc w:val="left"/>
        <w:rPr>
          <w:sz w:val="16"/>
        </w:rPr>
      </w:pPr>
      <w:r>
        <w:rPr>
          <w:sz w:val="16"/>
          <w:vertAlign w:val="superscript"/>
        </w:rPr>
        <w:t>(1)</w:t>
      </w:r>
      <w:r>
        <w:rPr>
          <w:sz w:val="16"/>
          <w:vertAlign w:val="baseline"/>
        </w:rPr>
        <w:t>   Total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Stockholder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Return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calculated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based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stock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price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appreciation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dividends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paid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show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return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stockholder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over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period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time.</w:t>
      </w:r>
      <w:r>
        <w:rPr>
          <w:spacing w:val="38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Shareholder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Return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assumes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dividends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are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reinvested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Common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Stock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day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dividend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is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paid.</w:t>
      </w:r>
    </w:p>
    <w:p>
      <w:pPr>
        <w:pStyle w:val="BodyText"/>
        <w:spacing w:before="5"/>
        <w:rPr>
          <w:sz w:val="16"/>
        </w:rPr>
      </w:pPr>
    </w:p>
    <w:p>
      <w:pPr>
        <w:pStyle w:val="Heading3"/>
      </w:pPr>
      <w:r>
        <w:rPr>
          <w:color w:val="00539E"/>
        </w:rPr>
        <w:t>Elements</w:t>
      </w:r>
      <w:r>
        <w:rPr>
          <w:color w:val="00539E"/>
          <w:spacing w:val="-5"/>
        </w:rPr>
        <w:t> </w:t>
      </w:r>
      <w:r>
        <w:rPr>
          <w:color w:val="00539E"/>
        </w:rPr>
        <w:t>of</w:t>
      </w:r>
      <w:r>
        <w:rPr>
          <w:color w:val="00539E"/>
          <w:spacing w:val="-4"/>
        </w:rPr>
        <w:t> </w:t>
      </w:r>
      <w:r>
        <w:rPr>
          <w:color w:val="00539E"/>
        </w:rPr>
        <w:t>Compensation</w:t>
      </w:r>
    </w:p>
    <w:p>
      <w:pPr>
        <w:pStyle w:val="BodyText"/>
        <w:spacing w:line="249" w:lineRule="auto" w:before="215"/>
        <w:ind w:left="250" w:right="282"/>
      </w:pPr>
      <w:r>
        <w:rPr/>
        <w:t>During the year ended December 31, 2021, there were three major components of executive compensation: Base</w:t>
      </w:r>
      <w:r>
        <w:rPr>
          <w:spacing w:val="1"/>
        </w:rPr>
        <w:t> </w:t>
      </w:r>
      <w:r>
        <w:rPr/>
        <w:t>Salary, performance-based Non-Equity Incentive Compensation ("Cash Bonus"), and performance and time-based</w:t>
      </w:r>
      <w:r>
        <w:rPr>
          <w:spacing w:val="1"/>
        </w:rPr>
        <w:t> </w:t>
      </w:r>
      <w:r>
        <w:rPr/>
        <w:t>Equity Compensation.</w:t>
      </w:r>
      <w:r>
        <w:rPr>
          <w:spacing w:val="1"/>
        </w:rPr>
        <w:t> </w:t>
      </w:r>
      <w:r>
        <w:rPr/>
        <w:t>In conjunction with the CEO, the Compensation Committee reviews our executive salary</w:t>
      </w:r>
      <w:r>
        <w:rPr>
          <w:spacing w:val="1"/>
        </w:rPr>
        <w:t> </w:t>
      </w:r>
      <w:r>
        <w:rPr/>
        <w:t>structure on an annual basis with the use of a tally sheet. The tally sheet summarizes total compensation for each</w:t>
      </w:r>
      <w:r>
        <w:rPr>
          <w:spacing w:val="1"/>
        </w:rPr>
        <w:t> </w:t>
      </w:r>
      <w:r>
        <w:rPr/>
        <w:t>NEO, including Base Salary, Equity Compensation award values, Cash Bonus performance metrics, and all other</w:t>
      </w:r>
      <w:r>
        <w:rPr>
          <w:spacing w:val="1"/>
        </w:rPr>
        <w:t> </w:t>
      </w:r>
      <w:r>
        <w:rPr/>
        <w:t>compensation for the current and prior years. The Compensation Committee uses the tally sheet to quantify each</w:t>
      </w:r>
      <w:r>
        <w:rPr>
          <w:spacing w:val="1"/>
        </w:rPr>
        <w:t> </w:t>
      </w:r>
      <w:r>
        <w:rPr/>
        <w:t>NEO's</w:t>
      </w:r>
      <w:r>
        <w:rPr>
          <w:spacing w:val="-4"/>
        </w:rPr>
        <w:t> </w:t>
      </w:r>
      <w:r>
        <w:rPr/>
        <w:t>total</w:t>
      </w:r>
      <w:r>
        <w:rPr>
          <w:spacing w:val="-4"/>
        </w:rPr>
        <w:t> </w:t>
      </w:r>
      <w:r>
        <w:rPr/>
        <w:t>compensation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compare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salaries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executives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companies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our</w:t>
      </w:r>
      <w:r>
        <w:rPr>
          <w:spacing w:val="-3"/>
        </w:rPr>
        <w:t> </w:t>
      </w:r>
      <w:r>
        <w:rPr/>
        <w:t>peer</w:t>
      </w:r>
      <w:r>
        <w:rPr>
          <w:spacing w:val="-4"/>
        </w:rPr>
        <w:t> </w:t>
      </w:r>
      <w:r>
        <w:rPr/>
        <w:t>group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at</w:t>
      </w:r>
      <w:r>
        <w:rPr>
          <w:spacing w:val="1"/>
        </w:rPr>
        <w:t> </w:t>
      </w:r>
      <w:r>
        <w:rPr/>
        <w:t>other</w:t>
      </w:r>
      <w:r>
        <w:rPr>
          <w:spacing w:val="-6"/>
        </w:rPr>
        <w:t> </w:t>
      </w:r>
      <w:r>
        <w:rPr/>
        <w:t>REITs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S&amp;P</w:t>
      </w:r>
      <w:r>
        <w:rPr>
          <w:spacing w:val="-9"/>
        </w:rPr>
        <w:t> </w:t>
      </w:r>
      <w:r>
        <w:rPr/>
        <w:t>Global</w:t>
      </w:r>
      <w:r>
        <w:rPr>
          <w:spacing w:val="-5"/>
        </w:rPr>
        <w:t> </w:t>
      </w:r>
      <w:r>
        <w:rPr/>
        <w:t>database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amounts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NAREIT</w:t>
      </w:r>
      <w:r>
        <w:rPr>
          <w:spacing w:val="-8"/>
        </w:rPr>
        <w:t> </w:t>
      </w:r>
      <w:r>
        <w:rPr/>
        <w:t>Compensation</w:t>
      </w:r>
      <w:r>
        <w:rPr>
          <w:spacing w:val="-6"/>
        </w:rPr>
        <w:t> </w:t>
      </w:r>
      <w:r>
        <w:rPr/>
        <w:t>Survey.</w:t>
      </w:r>
    </w:p>
    <w:p>
      <w:pPr>
        <w:pStyle w:val="BodyText"/>
        <w:rPr>
          <w:sz w:val="18"/>
        </w:rPr>
      </w:pPr>
    </w:p>
    <w:p>
      <w:pPr>
        <w:pStyle w:val="BodyText"/>
        <w:spacing w:line="249" w:lineRule="auto"/>
        <w:ind w:left="250" w:right="282"/>
      </w:pPr>
      <w:r>
        <w:rPr/>
        <w:t>The</w:t>
      </w:r>
      <w:r>
        <w:rPr>
          <w:spacing w:val="-5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philosophy</w:t>
      </w:r>
      <w:r>
        <w:rPr>
          <w:spacing w:val="-5"/>
        </w:rPr>
        <w:t> </w:t>
      </w:r>
      <w:r>
        <w:rPr/>
        <w:t>takes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account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review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executive</w:t>
      </w:r>
      <w:r>
        <w:rPr>
          <w:spacing w:val="-5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data</w:t>
      </w:r>
      <w:r>
        <w:rPr>
          <w:spacing w:val="-5"/>
        </w:rPr>
        <w:t> </w:t>
      </w:r>
      <w:r>
        <w:rPr/>
        <w:t>on</w:t>
      </w:r>
      <w:r>
        <w:rPr>
          <w:spacing w:val="1"/>
        </w:rPr>
        <w:t> </w:t>
      </w:r>
      <w:r>
        <w:rPr/>
        <w:t>publicly</w:t>
      </w:r>
      <w:r>
        <w:rPr>
          <w:spacing w:val="-6"/>
        </w:rPr>
        <w:t> </w:t>
      </w:r>
      <w:r>
        <w:rPr/>
        <w:t>traded</w:t>
      </w:r>
      <w:r>
        <w:rPr>
          <w:spacing w:val="-5"/>
        </w:rPr>
        <w:t> </w:t>
      </w:r>
      <w:r>
        <w:rPr/>
        <w:t>REITs</w:t>
      </w:r>
      <w:r>
        <w:rPr>
          <w:spacing w:val="-5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S&amp;P</w:t>
      </w:r>
      <w:r>
        <w:rPr>
          <w:spacing w:val="-8"/>
        </w:rPr>
        <w:t> </w:t>
      </w:r>
      <w:r>
        <w:rPr/>
        <w:t>Global</w:t>
      </w:r>
      <w:r>
        <w:rPr>
          <w:spacing w:val="-6"/>
        </w:rPr>
        <w:t> </w:t>
      </w:r>
      <w:r>
        <w:rPr/>
        <w:t>database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NAREIT</w:t>
      </w:r>
      <w:r>
        <w:rPr>
          <w:spacing w:val="-8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Survey.</w:t>
      </w:r>
      <w:r>
        <w:rPr>
          <w:spacing w:val="42"/>
        </w:rPr>
        <w:t> </w:t>
      </w:r>
      <w:r>
        <w:rPr/>
        <w:t>The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250" w:right="282"/>
      </w:pPr>
      <w:r>
        <w:rPr/>
        <w:t>Compensation Committee believes the executive compensation information derived from the S&amp;P Global database</w:t>
      </w:r>
      <w:r>
        <w:rPr>
          <w:spacing w:val="1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Company's</w:t>
      </w:r>
      <w:r>
        <w:rPr>
          <w:spacing w:val="-6"/>
        </w:rPr>
        <w:t> </w:t>
      </w:r>
      <w:r>
        <w:rPr/>
        <w:t>peer</w:t>
      </w:r>
      <w:r>
        <w:rPr>
          <w:spacing w:val="-5"/>
        </w:rPr>
        <w:t> </w:t>
      </w:r>
      <w:r>
        <w:rPr/>
        <w:t>group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NAREIT</w:t>
      </w:r>
      <w:r>
        <w:rPr>
          <w:spacing w:val="-8"/>
        </w:rPr>
        <w:t> </w:t>
      </w:r>
      <w:r>
        <w:rPr/>
        <w:t>Compensation</w:t>
      </w:r>
      <w:r>
        <w:rPr>
          <w:spacing w:val="-6"/>
        </w:rPr>
        <w:t> </w:t>
      </w:r>
      <w:r>
        <w:rPr/>
        <w:t>Survey</w:t>
      </w:r>
      <w:r>
        <w:rPr>
          <w:spacing w:val="-5"/>
        </w:rPr>
        <w:t> </w:t>
      </w:r>
      <w:r>
        <w:rPr/>
        <w:t>provide</w:t>
      </w:r>
      <w:r>
        <w:rPr>
          <w:spacing w:val="-6"/>
        </w:rPr>
        <w:t> </w:t>
      </w:r>
      <w:r>
        <w:rPr/>
        <w:t>relevant</w:t>
      </w:r>
      <w:r>
        <w:rPr>
          <w:spacing w:val="-5"/>
        </w:rPr>
        <w:t> </w:t>
      </w:r>
      <w:r>
        <w:rPr/>
        <w:t>salary</w:t>
      </w:r>
      <w:r>
        <w:rPr>
          <w:spacing w:val="-5"/>
        </w:rPr>
        <w:t> </w:t>
      </w:r>
      <w:r>
        <w:rPr/>
        <w:t>data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Company.</w:t>
      </w:r>
      <w:r>
        <w:rPr>
          <w:spacing w:val="1"/>
        </w:rPr>
        <w:t> </w:t>
      </w:r>
      <w:r>
        <w:rPr/>
        <w:t>The Compensation Committee takes into account the relevant compensation data for each NEO position when</w:t>
      </w:r>
      <w:r>
        <w:rPr>
          <w:spacing w:val="1"/>
        </w:rPr>
        <w:t> </w:t>
      </w:r>
      <w:r>
        <w:rPr/>
        <w:t>designing the compensation program. Where salary information is unavailable for a particular position in the S&amp;P</w:t>
      </w:r>
      <w:r>
        <w:rPr>
          <w:spacing w:val="1"/>
        </w:rPr>
        <w:t> </w:t>
      </w:r>
      <w:r>
        <w:rPr/>
        <w:t>Global database, other positions having similar responsibilities are used. Compensation increases are based upon</w:t>
      </w:r>
      <w:r>
        <w:rPr>
          <w:spacing w:val="1"/>
        </w:rPr>
        <w:t> </w:t>
      </w:r>
      <w:r>
        <w:rPr/>
        <w:t>overall Company performance and upon each NEO’s performance, established goals, and contribution to the</w:t>
      </w:r>
      <w:r>
        <w:rPr>
          <w:spacing w:val="1"/>
        </w:rPr>
        <w:t> </w:t>
      </w:r>
      <w:r>
        <w:rPr/>
        <w:t>Company’s performance. In addition, the Compensation Committee considered the CEO Pay Ratio as described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fully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"CEO</w:t>
      </w:r>
      <w:r>
        <w:rPr>
          <w:spacing w:val="-2"/>
        </w:rPr>
        <w:t> </w:t>
      </w:r>
      <w:r>
        <w:rPr/>
        <w:t>Pay</w:t>
      </w:r>
      <w:r>
        <w:rPr>
          <w:spacing w:val="-1"/>
        </w:rPr>
        <w:t> </w:t>
      </w:r>
      <w:r>
        <w:rPr/>
        <w:t>Ratio"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Proxy</w:t>
      </w:r>
      <w:r>
        <w:rPr>
          <w:spacing w:val="-1"/>
        </w:rPr>
        <w:t> </w:t>
      </w:r>
      <w:r>
        <w:rPr/>
        <w:t>Statement.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Aggregate total compensation for each NEO for 2021 was split among Base Salary, performance-based Cash</w:t>
      </w:r>
      <w:r>
        <w:rPr>
          <w:spacing w:val="1"/>
        </w:rPr>
        <w:t> </w:t>
      </w:r>
      <w:r>
        <w:rPr/>
        <w:t>Bonus, and Equity Compensation, as shown in the following chart. All other compensation was less than 1% of the</w:t>
      </w:r>
      <w:r>
        <w:rPr>
          <w:spacing w:val="1"/>
        </w:rPr>
        <w:t> </w:t>
      </w:r>
      <w:r>
        <w:rPr/>
        <w:t>total compensation. The increase in total executive compensation from 2020 to 2021 for the NEOs in the aggregate</w:t>
      </w:r>
      <w:r>
        <w:rPr>
          <w:spacing w:val="-53"/>
        </w:rPr>
        <w:t> </w:t>
      </w:r>
      <w:r>
        <w:rPr/>
        <w:t>reflects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2.0%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salaries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performance-based</w:t>
      </w:r>
      <w:r>
        <w:rPr>
          <w:spacing w:val="-2"/>
        </w:rPr>
        <w:t> </w:t>
      </w:r>
      <w:r>
        <w:rPr/>
        <w:t>Cash</w:t>
      </w:r>
      <w:r>
        <w:rPr>
          <w:spacing w:val="-2"/>
        </w:rPr>
        <w:t> </w:t>
      </w:r>
      <w:r>
        <w:rPr/>
        <w:t>Bonus.</w:t>
      </w:r>
    </w:p>
    <w:p>
      <w:pPr>
        <w:pStyle w:val="BodyText"/>
        <w:spacing w:before="8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2180143</wp:posOffset>
            </wp:positionH>
            <wp:positionV relativeFrom="paragraph">
              <wp:posOffset>195779</wp:posOffset>
            </wp:positionV>
            <wp:extent cx="3633876" cy="2370581"/>
            <wp:effectExtent l="0" t="0" r="0" b="0"/>
            <wp:wrapTopAndBottom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3876" cy="2370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00539E"/>
        </w:rPr>
        <w:t>Base</w:t>
      </w:r>
      <w:r>
        <w:rPr>
          <w:color w:val="00539E"/>
          <w:spacing w:val="-3"/>
        </w:rPr>
        <w:t> </w:t>
      </w:r>
      <w:r>
        <w:rPr>
          <w:color w:val="00539E"/>
        </w:rPr>
        <w:t>Salary</w:t>
      </w:r>
    </w:p>
    <w:p>
      <w:pPr>
        <w:pStyle w:val="BodyText"/>
        <w:spacing w:line="249" w:lineRule="auto" w:before="215"/>
        <w:ind w:left="250" w:right="376"/>
      </w:pPr>
      <w:r>
        <w:rPr/>
        <w:t>The Compensation Committee deliberately keeps Base Salaries at a relatively small percentage of total</w:t>
      </w:r>
      <w:r>
        <w:rPr>
          <w:spacing w:val="1"/>
        </w:rPr>
        <w:t> </w:t>
      </w:r>
      <w:r>
        <w:rPr/>
        <w:t>compensation. For 2021, the Compensation Committee concluded that Base Salaries of $600,000 for Ms. Nader</w:t>
      </w:r>
      <w:r>
        <w:rPr>
          <w:spacing w:val="-53"/>
        </w:rPr>
        <w:t> </w:t>
      </w:r>
      <w:r>
        <w:rPr/>
        <w:t>and</w:t>
      </w:r>
      <w:r>
        <w:rPr>
          <w:spacing w:val="-8"/>
        </w:rPr>
        <w:t> </w:t>
      </w:r>
      <w:r>
        <w:rPr/>
        <w:t>$395,300</w:t>
      </w:r>
      <w:r>
        <w:rPr>
          <w:spacing w:val="-7"/>
        </w:rPr>
        <w:t> </w:t>
      </w:r>
      <w:r>
        <w:rPr/>
        <w:t>for</w:t>
      </w:r>
      <w:r>
        <w:rPr>
          <w:spacing w:val="-7"/>
        </w:rPr>
        <w:t> </w:t>
      </w:r>
      <w:r>
        <w:rPr/>
        <w:t>each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Mr.</w:t>
      </w:r>
      <w:r>
        <w:rPr>
          <w:spacing w:val="-7"/>
        </w:rPr>
        <w:t> </w:t>
      </w:r>
      <w:r>
        <w:rPr/>
        <w:t>Seavey,</w:t>
      </w:r>
      <w:r>
        <w:rPr>
          <w:spacing w:val="-7"/>
        </w:rPr>
        <w:t> </w:t>
      </w:r>
      <w:r>
        <w:rPr/>
        <w:t>Mr.</w:t>
      </w:r>
      <w:r>
        <w:rPr>
          <w:spacing w:val="-7"/>
        </w:rPr>
        <w:t> </w:t>
      </w:r>
      <w:r>
        <w:rPr/>
        <w:t>Waite,</w:t>
      </w:r>
      <w:r>
        <w:rPr>
          <w:spacing w:val="-7"/>
        </w:rPr>
        <w:t> </w:t>
      </w:r>
      <w:r>
        <w:rPr/>
        <w:t>Mr.</w:t>
      </w:r>
      <w:r>
        <w:rPr>
          <w:spacing w:val="-7"/>
        </w:rPr>
        <w:t> </w:t>
      </w:r>
      <w:r>
        <w:rPr/>
        <w:t>Maynard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Mr.</w:t>
      </w:r>
      <w:r>
        <w:rPr>
          <w:spacing w:val="-7"/>
        </w:rPr>
        <w:t> </w:t>
      </w:r>
      <w:r>
        <w:rPr/>
        <w:t>Eldersveld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appropriate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this</w:t>
      </w:r>
      <w:r>
        <w:rPr>
          <w:spacing w:val="-7"/>
        </w:rPr>
        <w:t> </w:t>
      </w:r>
      <w:r>
        <w:rPr/>
        <w:t>regard.</w:t>
      </w:r>
      <w:r>
        <w:rPr>
          <w:spacing w:val="1"/>
        </w:rPr>
        <w:t> </w:t>
      </w:r>
      <w:r>
        <w:rPr/>
        <w:t>These</w:t>
      </w:r>
      <w:r>
        <w:rPr>
          <w:spacing w:val="-2"/>
        </w:rPr>
        <w:t> </w:t>
      </w:r>
      <w:r>
        <w:rPr/>
        <w:t>Base</w:t>
      </w:r>
      <w:r>
        <w:rPr>
          <w:spacing w:val="-2"/>
        </w:rPr>
        <w:t> </w:t>
      </w:r>
      <w:r>
        <w:rPr/>
        <w:t>Salaries</w:t>
      </w:r>
      <w:r>
        <w:rPr>
          <w:spacing w:val="-2"/>
        </w:rPr>
        <w:t> </w:t>
      </w:r>
      <w:r>
        <w:rPr/>
        <w:t>reflect</w:t>
      </w:r>
      <w:r>
        <w:rPr>
          <w:spacing w:val="-1"/>
        </w:rPr>
        <w:t> </w:t>
      </w:r>
      <w:r>
        <w:rPr/>
        <w:t>an</w:t>
      </w:r>
      <w:r>
        <w:rPr>
          <w:spacing w:val="-2"/>
        </w:rPr>
        <w:t> </w:t>
      </w:r>
      <w:r>
        <w:rPr/>
        <w:t>increase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approximately</w:t>
      </w:r>
      <w:r>
        <w:rPr>
          <w:spacing w:val="-2"/>
        </w:rPr>
        <w:t> </w:t>
      </w:r>
      <w:r>
        <w:rPr/>
        <w:t>2.0%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2021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2020.</w:t>
      </w:r>
    </w:p>
    <w:p>
      <w:pPr>
        <w:pStyle w:val="BodyText"/>
        <w:spacing w:before="3"/>
        <w:rPr>
          <w:sz w:val="17"/>
        </w:rPr>
      </w:pPr>
    </w:p>
    <w:p>
      <w:pPr>
        <w:pStyle w:val="Heading3"/>
      </w:pPr>
      <w:r>
        <w:rPr>
          <w:color w:val="00539E"/>
        </w:rPr>
        <w:t>Non-Equity</w:t>
      </w:r>
      <w:r>
        <w:rPr>
          <w:color w:val="00539E"/>
          <w:spacing w:val="-6"/>
        </w:rPr>
        <w:t> </w:t>
      </w:r>
      <w:r>
        <w:rPr>
          <w:color w:val="00539E"/>
        </w:rPr>
        <w:t>Incentive</w:t>
      </w:r>
      <w:r>
        <w:rPr>
          <w:color w:val="00539E"/>
          <w:spacing w:val="-5"/>
        </w:rPr>
        <w:t> </w:t>
      </w:r>
      <w:r>
        <w:rPr>
          <w:color w:val="00539E"/>
        </w:rPr>
        <w:t>Compensation</w:t>
      </w:r>
      <w:r>
        <w:rPr>
          <w:color w:val="00539E"/>
          <w:spacing w:val="-6"/>
        </w:rPr>
        <w:t> </w:t>
      </w:r>
      <w:r>
        <w:rPr>
          <w:color w:val="00539E"/>
        </w:rPr>
        <w:t>(Cash</w:t>
      </w:r>
      <w:r>
        <w:rPr>
          <w:color w:val="00539E"/>
          <w:spacing w:val="-6"/>
        </w:rPr>
        <w:t> </w:t>
      </w:r>
      <w:r>
        <w:rPr>
          <w:color w:val="00539E"/>
        </w:rPr>
        <w:t>Bonus)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spacing w:line="249" w:lineRule="auto"/>
        <w:ind w:left="250" w:right="331"/>
      </w:pPr>
      <w:r>
        <w:rPr/>
        <w:t>The Compensation Committee's practice is to award annual Cash Bonuses based on certain performance targets</w:t>
      </w:r>
      <w:r>
        <w:rPr>
          <w:spacing w:val="1"/>
        </w:rPr>
        <w:t> </w:t>
      </w:r>
      <w:r>
        <w:rPr/>
        <w:t>established by the Compensation Committee for each year after consultation with the CEO. The amount paid to</w:t>
      </w:r>
      <w:r>
        <w:rPr>
          <w:spacing w:val="1"/>
        </w:rPr>
        <w:t> </w:t>
      </w:r>
      <w:r>
        <w:rPr/>
        <w:t>each NEO is subject to the discretion of the Compensation Committee. The Compensation Committee selected</w:t>
      </w:r>
      <w:r>
        <w:rPr>
          <w:spacing w:val="1"/>
        </w:rPr>
        <w:t> </w:t>
      </w:r>
      <w:r>
        <w:rPr/>
        <w:t>short-term annual performance metrics for management's focus that support and ensure the Company's long-term</w:t>
      </w:r>
      <w:r>
        <w:rPr>
          <w:spacing w:val="1"/>
        </w:rPr>
        <w:t> </w:t>
      </w:r>
      <w:r>
        <w:rPr/>
        <w:t>success and profitability. Performance targets were established and communicated to the NEOs when the outcome</w:t>
      </w:r>
      <w:r>
        <w:rPr>
          <w:spacing w:val="-53"/>
        </w:rPr>
        <w:t> </w:t>
      </w:r>
      <w:r>
        <w:rPr/>
        <w:t>of the performance targets was substantially uncertain.</w:t>
      </w:r>
      <w:r>
        <w:rPr>
          <w:spacing w:val="55"/>
        </w:rPr>
        <w:t> </w:t>
      </w:r>
      <w:r>
        <w:rPr/>
        <w:t>Performance targets were consistent with earnings</w:t>
      </w:r>
      <w:r>
        <w:rPr>
          <w:spacing w:val="1"/>
        </w:rPr>
        <w:t> </w:t>
      </w:r>
      <w:r>
        <w:rPr/>
        <w:t>guidance expectations publicly disclosed by the Company. The final payout of 2021 Cash Bonuses to the NEOs</w:t>
      </w:r>
      <w:r>
        <w:rPr>
          <w:spacing w:val="1"/>
        </w:rPr>
        <w:t> </w:t>
      </w:r>
      <w:r>
        <w:rPr/>
        <w:t>was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January</w:t>
      </w:r>
      <w:r>
        <w:rPr>
          <w:spacing w:val="-2"/>
        </w:rPr>
        <w:t> </w:t>
      </w:r>
      <w:r>
        <w:rPr/>
        <w:t>2022,</w:t>
      </w:r>
      <w:r>
        <w:rPr>
          <w:spacing w:val="-1"/>
        </w:rPr>
        <w:t> </w:t>
      </w:r>
      <w:r>
        <w:rPr/>
        <w:t>after</w:t>
      </w:r>
      <w:r>
        <w:rPr>
          <w:spacing w:val="-2"/>
        </w:rPr>
        <w:t> </w:t>
      </w:r>
      <w:r>
        <w:rPr/>
        <w:t>finalization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Company's</w:t>
      </w:r>
      <w:r>
        <w:rPr>
          <w:spacing w:val="-2"/>
        </w:rPr>
        <w:t> </w:t>
      </w:r>
      <w:r>
        <w:rPr/>
        <w:t>year-end</w:t>
      </w:r>
      <w:r>
        <w:rPr>
          <w:spacing w:val="-2"/>
        </w:rPr>
        <w:t> </w:t>
      </w:r>
      <w:r>
        <w:rPr/>
        <w:t>earnings</w:t>
      </w:r>
      <w:r>
        <w:rPr>
          <w:spacing w:val="-2"/>
        </w:rPr>
        <w:t> </w:t>
      </w:r>
      <w:r>
        <w:rPr/>
        <w:t>results.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The total 2021 maximum Cash Bonus potential for the NEOs set by the Compensation Committee was</w:t>
      </w:r>
      <w:r>
        <w:rPr>
          <w:spacing w:val="1"/>
        </w:rPr>
        <w:t> </w:t>
      </w:r>
      <w:r>
        <w:rPr/>
        <w:t>approximately</w:t>
      </w:r>
      <w:r>
        <w:rPr>
          <w:spacing w:val="-5"/>
        </w:rPr>
        <w:t> </w:t>
      </w:r>
      <w:r>
        <w:rPr/>
        <w:t>$5.5</w:t>
      </w:r>
      <w:r>
        <w:rPr>
          <w:spacing w:val="-5"/>
        </w:rPr>
        <w:t> </w:t>
      </w:r>
      <w:r>
        <w:rPr/>
        <w:t>million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comprised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$5.5</w:t>
      </w:r>
      <w:r>
        <w:rPr>
          <w:spacing w:val="-5"/>
        </w:rPr>
        <w:t> </w:t>
      </w:r>
      <w:r>
        <w:rPr/>
        <w:t>million</w:t>
      </w:r>
      <w:r>
        <w:rPr>
          <w:spacing w:val="-5"/>
        </w:rPr>
        <w:t> </w:t>
      </w:r>
      <w:r>
        <w:rPr/>
        <w:t>bonus</w:t>
      </w:r>
      <w:r>
        <w:rPr>
          <w:spacing w:val="-4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("2021</w:t>
      </w:r>
      <w:r>
        <w:rPr>
          <w:spacing w:val="-5"/>
        </w:rPr>
        <w:t> </w:t>
      </w:r>
      <w:r>
        <w:rPr/>
        <w:t>Bonus</w:t>
      </w:r>
      <w:r>
        <w:rPr>
          <w:spacing w:val="-5"/>
        </w:rPr>
        <w:t> </w:t>
      </w:r>
      <w:r>
        <w:rPr/>
        <w:t>Potential"),</w:t>
      </w:r>
      <w:r>
        <w:rPr>
          <w:spacing w:val="-5"/>
        </w:rPr>
        <w:t> </w:t>
      </w:r>
      <w:r>
        <w:rPr/>
        <w:t>a</w:t>
      </w:r>
    </w:p>
    <w:p>
      <w:pPr>
        <w:pStyle w:val="BodyText"/>
        <w:spacing w:line="249" w:lineRule="auto" w:before="2"/>
        <w:ind w:left="250" w:right="282"/>
      </w:pPr>
      <w:r>
        <w:rPr/>
        <w:t>$146,122 manufactured home ("MH") revenue stretch goal and a $146,122 resort revenue stretch goal ("2021</w:t>
      </w:r>
      <w:r>
        <w:rPr>
          <w:spacing w:val="1"/>
        </w:rPr>
        <w:t> </w:t>
      </w:r>
      <w:r>
        <w:rPr/>
        <w:t>Stretch Goals"). The Compensation Committee has discretion to determine an appropriate award for each NEO</w:t>
      </w:r>
      <w:r>
        <w:rPr>
          <w:spacing w:val="-53"/>
        </w:rPr>
        <w:t> </w:t>
      </w:r>
      <w:r>
        <w:rPr/>
        <w:t>based on an evaluation of each of the target areas. The Cash Bonus paid to each NEO was based on the pre-</w:t>
      </w:r>
      <w:r>
        <w:rPr>
          <w:spacing w:val="1"/>
        </w:rPr>
        <w:t> </w:t>
      </w:r>
      <w:r>
        <w:rPr/>
        <w:t>established targets approved in February 2021. On a percentage basis, the bonus payments to the Company's</w:t>
      </w:r>
      <w:r>
        <w:rPr>
          <w:spacing w:val="1"/>
        </w:rPr>
        <w:t> </w:t>
      </w:r>
      <w:r>
        <w:rPr/>
        <w:t>employees</w:t>
      </w:r>
      <w:r>
        <w:rPr>
          <w:spacing w:val="-2"/>
        </w:rPr>
        <w:t> </w:t>
      </w:r>
      <w:r>
        <w:rPr/>
        <w:t>were</w:t>
      </w:r>
      <w:r>
        <w:rPr>
          <w:spacing w:val="-1"/>
        </w:rPr>
        <w:t> </w:t>
      </w:r>
      <w:r>
        <w:rPr/>
        <w:t>generally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above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NEOs.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250" w:right="376"/>
      </w:pPr>
      <w:r>
        <w:rPr/>
        <w:pict>
          <v:shape style="position:absolute;margin-left:49.630001pt;margin-top:72.077675pt;width:423.4pt;height:40.9pt;mso-position-horizontal-relative:page;mso-position-vertical-relative:paragraph;z-index:15764480" type="#_x0000_t202" id="docshape97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711"/>
                    <w:gridCol w:w="1373"/>
                    <w:gridCol w:w="1005"/>
                    <w:gridCol w:w="1192"/>
                    <w:gridCol w:w="1037"/>
                    <w:gridCol w:w="1217"/>
                    <w:gridCol w:w="933"/>
                  </w:tblGrid>
                  <w:tr>
                    <w:trPr>
                      <w:trHeight w:val="169" w:hRule="atLeast"/>
                    </w:trPr>
                    <w:tc>
                      <w:tcPr>
                        <w:tcW w:w="1711" w:type="dxa"/>
                        <w:vMerge w:val="restart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49" w:lineRule="exact" w:before="0"/>
                          <w:ind w:left="274" w:righ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spacing w:line="149" w:lineRule="exact" w:before="0"/>
                          <w:ind w:left="150" w:right="17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Core</w:t>
                        </w:r>
                      </w:p>
                    </w:tc>
                    <w:tc>
                      <w:tcPr>
                        <w:tcW w:w="3187" w:type="dxa"/>
                        <w:gridSpan w:val="3"/>
                        <w:vMerge w:val="restart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71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40" w:lineRule="exact" w:before="0"/>
                          <w:ind w:left="230" w:righ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Bonus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spacing w:line="140" w:lineRule="exact" w:before="0"/>
                          <w:ind w:left="150" w:right="17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Resort</w:t>
                        </w:r>
                      </w:p>
                    </w:tc>
                    <w:tc>
                      <w:tcPr>
                        <w:tcW w:w="3187" w:type="dxa"/>
                        <w:gridSpan w:val="3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60" w:hRule="atLeast"/>
                    </w:trPr>
                    <w:tc>
                      <w:tcPr>
                        <w:tcW w:w="1711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40" w:lineRule="exact" w:before="0"/>
                          <w:ind w:left="230" w:right="5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Potential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spacing w:line="140" w:lineRule="exact" w:before="0"/>
                          <w:ind w:left="150" w:right="178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Revenue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&amp;</w:t>
                        </w:r>
                      </w:p>
                    </w:tc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line="140" w:lineRule="exact" w:before="0"/>
                          <w:ind w:left="195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Site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and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line="140" w:lineRule="exact" w:before="0"/>
                          <w:ind w:left="261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Core</w:t>
                        </w:r>
                        <w:r>
                          <w:rPr>
                            <w:b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Net</w:t>
                        </w: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line="140" w:lineRule="exact" w:before="0"/>
                          <w:ind w:left="251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Rentals/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1711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73" w:type="dxa"/>
                      </w:tcPr>
                      <w:p>
                        <w:pPr>
                          <w:pStyle w:val="TableParagraph"/>
                          <w:spacing w:line="160" w:lineRule="exact" w:before="0"/>
                          <w:ind w:left="608" w:right="166" w:hanging="205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pacing w:val="-1"/>
                            <w:sz w:val="16"/>
                          </w:rPr>
                          <w:t>(Amount </w:t>
                        </w:r>
                        <w:r>
                          <w:rPr>
                            <w:b/>
                            <w:sz w:val="16"/>
                          </w:rPr>
                          <w:t>x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Base</w:t>
                        </w:r>
                      </w:p>
                    </w:tc>
                    <w:tc>
                      <w:tcPr>
                        <w:tcW w:w="1005" w:type="dxa"/>
                      </w:tcPr>
                      <w:p>
                        <w:pPr>
                          <w:pStyle w:val="TableParagraph"/>
                          <w:spacing w:line="160" w:lineRule="exact" w:before="0"/>
                          <w:ind w:left="172" w:right="146" w:firstLine="4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Core MH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Revenue</w:t>
                        </w:r>
                      </w:p>
                    </w:tc>
                    <w:tc>
                      <w:tcPr>
                        <w:tcW w:w="1192" w:type="dxa"/>
                      </w:tcPr>
                      <w:p>
                        <w:pPr>
                          <w:pStyle w:val="TableParagraph"/>
                          <w:spacing w:line="160" w:lineRule="exact" w:before="0"/>
                          <w:ind w:left="248" w:right="264" w:firstLine="137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Dues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Revenue</w:t>
                        </w:r>
                      </w:p>
                    </w:tc>
                    <w:tc>
                      <w:tcPr>
                        <w:tcW w:w="1037" w:type="dxa"/>
                      </w:tcPr>
                      <w:p>
                        <w:pPr>
                          <w:pStyle w:val="TableParagraph"/>
                          <w:spacing w:line="160" w:lineRule="exact" w:before="0"/>
                          <w:ind w:left="22" w:right="26" w:firstLine="177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Member</w:t>
                        </w:r>
                        <w:r>
                          <w:rPr>
                            <w:b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Optimization</w:t>
                        </w:r>
                      </w:p>
                    </w:tc>
                    <w:tc>
                      <w:tcPr>
                        <w:tcW w:w="1217" w:type="dxa"/>
                      </w:tcPr>
                      <w:p>
                        <w:pPr>
                          <w:pStyle w:val="TableParagraph"/>
                          <w:spacing w:line="160" w:lineRule="exact" w:before="0"/>
                          <w:ind w:left="314" w:right="225" w:hanging="98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Operating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Income</w:t>
                        </w:r>
                      </w:p>
                    </w:tc>
                    <w:tc>
                      <w:tcPr>
                        <w:tcW w:w="933" w:type="dxa"/>
                      </w:tcPr>
                      <w:p>
                        <w:pPr>
                          <w:pStyle w:val="TableParagraph"/>
                          <w:spacing w:line="160" w:lineRule="exact" w:before="0"/>
                          <w:ind w:left="295" w:right="32" w:hanging="54"/>
                          <w:jc w:val="lef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Working</w:t>
                        </w:r>
                        <w:r>
                          <w:rPr>
                            <w:b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Capital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The following table shows the 2021 Bonus Potential for each NEO and the percentage attributed to each</w:t>
      </w:r>
      <w:r>
        <w:rPr>
          <w:spacing w:val="1"/>
        </w:rPr>
        <w:t> </w:t>
      </w:r>
      <w:r>
        <w:rPr/>
        <w:t>performance target and the discretionary portion.</w:t>
      </w:r>
      <w:r>
        <w:rPr>
          <w:spacing w:val="1"/>
        </w:rPr>
        <w:t> </w:t>
      </w:r>
      <w:r>
        <w:rPr/>
        <w:t>The total Cash Bonus paid to all NEOs was approximately $5.1</w:t>
      </w:r>
      <w:r>
        <w:rPr>
          <w:spacing w:val="-53"/>
        </w:rPr>
        <w:t> </w:t>
      </w:r>
      <w:r>
        <w:rPr/>
        <w:t>million, or 92.5%, as compared to the $5.5 million aggregate potential. The 2021 Stretch Goals required certain</w:t>
      </w:r>
      <w:r>
        <w:rPr>
          <w:spacing w:val="1"/>
        </w:rPr>
        <w:t> </w:t>
      </w:r>
      <w:r>
        <w:rPr/>
        <w:t>increases in the Company’s core MH revenues, which target was met, and certain increases in core resort</w:t>
      </w:r>
      <w:r>
        <w:rPr>
          <w:spacing w:val="1"/>
        </w:rPr>
        <w:t> </w:t>
      </w:r>
      <w:r>
        <w:rPr>
          <w:spacing w:val="-1"/>
        </w:rPr>
        <w:t>revenues,</w:t>
      </w:r>
      <w:r>
        <w:rPr>
          <w:spacing w:val="-4"/>
        </w:rPr>
        <w:t> </w:t>
      </w:r>
      <w:r>
        <w:rPr>
          <w:spacing w:val="-1"/>
        </w:rPr>
        <w:t>which</w:t>
      </w:r>
      <w:r>
        <w:rPr>
          <w:spacing w:val="-3"/>
        </w:rPr>
        <w:t> </w:t>
      </w:r>
      <w:r>
        <w:rPr/>
        <w:t>target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met.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total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$292,244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paid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NEOs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respect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2021</w:t>
      </w:r>
      <w:r>
        <w:rPr>
          <w:spacing w:val="-3"/>
        </w:rPr>
        <w:t> </w:t>
      </w:r>
      <w:r>
        <w:rPr/>
        <w:t>Stretch</w:t>
      </w:r>
      <w:r>
        <w:rPr>
          <w:spacing w:val="-4"/>
        </w:rPr>
        <w:t> </w:t>
      </w:r>
      <w:r>
        <w:rPr/>
        <w:t>Goals.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22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8"/>
        <w:gridCol w:w="1243"/>
        <w:gridCol w:w="1112"/>
        <w:gridCol w:w="1103"/>
        <w:gridCol w:w="1114"/>
        <w:gridCol w:w="1159"/>
        <w:gridCol w:w="1176"/>
        <w:gridCol w:w="1578"/>
      </w:tblGrid>
      <w:tr>
        <w:trPr>
          <w:trHeight w:val="220" w:hRule="atLeast"/>
        </w:trPr>
        <w:tc>
          <w:tcPr>
            <w:tcW w:w="1778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16"/>
              <w:ind w:left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Name</w:t>
            </w:r>
          </w:p>
        </w:tc>
        <w:tc>
          <w:tcPr>
            <w:tcW w:w="1243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16"/>
              <w:ind w:left="447" w:right="22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Salary)</w:t>
            </w:r>
          </w:p>
        </w:tc>
        <w:tc>
          <w:tcPr>
            <w:tcW w:w="1112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16"/>
              <w:ind w:left="223" w:right="1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 </w:t>
            </w:r>
            <w:r>
              <w:rPr>
                <w:b/>
                <w:sz w:val="16"/>
                <w:vertAlign w:val="superscript"/>
              </w:rPr>
              <w:t>(1)</w:t>
            </w:r>
          </w:p>
        </w:tc>
        <w:tc>
          <w:tcPr>
            <w:tcW w:w="1103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16"/>
              <w:ind w:left="192" w:right="21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 </w:t>
            </w:r>
            <w:r>
              <w:rPr>
                <w:b/>
                <w:sz w:val="16"/>
                <w:vertAlign w:val="superscript"/>
              </w:rPr>
              <w:t>(2)</w:t>
            </w:r>
          </w:p>
        </w:tc>
        <w:tc>
          <w:tcPr>
            <w:tcW w:w="1114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16"/>
              <w:ind w:left="215" w:right="2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</w:t>
            </w:r>
            <w:r>
              <w:rPr>
                <w:b/>
                <w:spacing w:val="-15"/>
                <w:sz w:val="16"/>
              </w:rPr>
              <w:t> </w:t>
            </w:r>
            <w:r>
              <w:rPr>
                <w:b/>
                <w:sz w:val="16"/>
                <w:vertAlign w:val="superscript"/>
              </w:rPr>
              <w:t>(3)</w:t>
            </w:r>
          </w:p>
        </w:tc>
        <w:tc>
          <w:tcPr>
            <w:tcW w:w="1159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16"/>
              <w:ind w:left="218" w:right="24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 </w:t>
            </w:r>
            <w:r>
              <w:rPr>
                <w:b/>
                <w:sz w:val="16"/>
                <w:vertAlign w:val="superscript"/>
              </w:rPr>
              <w:t>(4)</w:t>
            </w:r>
          </w:p>
        </w:tc>
        <w:tc>
          <w:tcPr>
            <w:tcW w:w="1176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16"/>
              <w:ind w:left="243" w:right="23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Target </w:t>
            </w:r>
            <w:r>
              <w:rPr>
                <w:b/>
                <w:sz w:val="16"/>
                <w:vertAlign w:val="superscript"/>
              </w:rPr>
              <w:t>(5)</w:t>
            </w:r>
          </w:p>
        </w:tc>
        <w:tc>
          <w:tcPr>
            <w:tcW w:w="1578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16"/>
              <w:ind w:left="232" w:right="16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Discretionary</w:t>
            </w:r>
            <w:r>
              <w:rPr>
                <w:b/>
                <w:sz w:val="16"/>
                <w:vertAlign w:val="superscript"/>
              </w:rPr>
              <w:t>(6)</w:t>
            </w:r>
          </w:p>
        </w:tc>
      </w:tr>
      <w:tr>
        <w:trPr>
          <w:trHeight w:val="220" w:hRule="atLeast"/>
        </w:trPr>
        <w:tc>
          <w:tcPr>
            <w:tcW w:w="1778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1243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447" w:right="221"/>
              <w:jc w:val="center"/>
              <w:rPr>
                <w:sz w:val="16"/>
              </w:rPr>
            </w:pPr>
            <w:r>
              <w:rPr>
                <w:sz w:val="16"/>
              </w:rPr>
              <w:t>2.9</w:t>
            </w:r>
          </w:p>
        </w:tc>
        <w:tc>
          <w:tcPr>
            <w:tcW w:w="1112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23" w:right="155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03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192" w:right="179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14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5" w:right="184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59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8" w:right="21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76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43" w:right="20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578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32" w:right="123"/>
              <w:jc w:val="center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</w:tr>
      <w:tr>
        <w:trPr>
          <w:trHeight w:val="220" w:hRule="atLeast"/>
        </w:trPr>
        <w:tc>
          <w:tcPr>
            <w:tcW w:w="17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1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124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447" w:right="221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1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23" w:right="155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0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192" w:right="179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1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5" w:right="184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5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8" w:right="21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43" w:right="20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5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32" w:right="123"/>
              <w:jc w:val="center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</w:tr>
      <w:tr>
        <w:trPr>
          <w:trHeight w:val="220" w:hRule="atLeast"/>
        </w:trPr>
        <w:tc>
          <w:tcPr>
            <w:tcW w:w="17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1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124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447" w:right="221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1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23" w:right="155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0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192" w:right="179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1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5" w:right="184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5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8" w:right="21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43" w:right="20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5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32" w:right="123"/>
              <w:jc w:val="center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</w:tr>
      <w:tr>
        <w:trPr>
          <w:trHeight w:val="220" w:hRule="atLeast"/>
        </w:trPr>
        <w:tc>
          <w:tcPr>
            <w:tcW w:w="17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1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Roger Maynard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  <w:vertAlign w:val="superscript"/>
              </w:rPr>
              <w:t>(7)</w:t>
            </w:r>
          </w:p>
        </w:tc>
        <w:tc>
          <w:tcPr>
            <w:tcW w:w="124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447" w:right="221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1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23" w:right="155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0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192" w:right="179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1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5" w:right="184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5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8" w:right="21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43" w:right="20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5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32" w:right="123"/>
              <w:jc w:val="center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</w:tr>
      <w:tr>
        <w:trPr>
          <w:trHeight w:val="220" w:hRule="atLeast"/>
        </w:trPr>
        <w:tc>
          <w:tcPr>
            <w:tcW w:w="17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1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Eldersveld</w:t>
            </w:r>
          </w:p>
        </w:tc>
        <w:tc>
          <w:tcPr>
            <w:tcW w:w="124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447" w:right="221"/>
              <w:jc w:val="center"/>
              <w:rPr>
                <w:sz w:val="16"/>
              </w:rPr>
            </w:pPr>
            <w:r>
              <w:rPr>
                <w:sz w:val="16"/>
              </w:rPr>
              <w:t>2.2</w:t>
            </w:r>
          </w:p>
        </w:tc>
        <w:tc>
          <w:tcPr>
            <w:tcW w:w="111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23" w:right="155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0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192" w:right="179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1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5" w:right="184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5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18" w:right="21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43" w:right="200"/>
              <w:jc w:val="center"/>
              <w:rPr>
                <w:sz w:val="16"/>
              </w:rPr>
            </w:pPr>
            <w:r>
              <w:rPr>
                <w:sz w:val="16"/>
              </w:rPr>
              <w:t>14.0%</w:t>
            </w:r>
          </w:p>
        </w:tc>
        <w:tc>
          <w:tcPr>
            <w:tcW w:w="15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232" w:right="123"/>
              <w:jc w:val="center"/>
              <w:rPr>
                <w:sz w:val="16"/>
              </w:rPr>
            </w:pPr>
            <w:r>
              <w:rPr>
                <w:sz w:val="16"/>
              </w:rPr>
              <w:t>30.0%</w:t>
            </w:r>
          </w:p>
        </w:tc>
      </w:tr>
    </w:tbl>
    <w:p>
      <w:pPr>
        <w:pStyle w:val="BodyText"/>
        <w:spacing w:before="1"/>
        <w:rPr>
          <w:sz w:val="26"/>
        </w:rPr>
      </w:pPr>
    </w:p>
    <w:p>
      <w:pPr>
        <w:pStyle w:val="ListParagraph"/>
        <w:numPr>
          <w:ilvl w:val="0"/>
          <w:numId w:val="17"/>
        </w:numPr>
        <w:tabs>
          <w:tab w:pos="1150" w:val="left" w:leader="none"/>
        </w:tabs>
        <w:spacing w:line="249" w:lineRule="auto" w:before="0" w:after="0"/>
        <w:ind w:left="1150" w:right="368" w:hanging="360"/>
        <w:jc w:val="left"/>
        <w:rPr>
          <w:sz w:val="16"/>
        </w:rPr>
      </w:pPr>
      <w:r>
        <w:rPr>
          <w:sz w:val="16"/>
        </w:rPr>
        <w:t>This</w:t>
      </w:r>
      <w:r>
        <w:rPr>
          <w:spacing w:val="-3"/>
          <w:sz w:val="16"/>
        </w:rPr>
        <w:t> </w:t>
      </w:r>
      <w:r>
        <w:rPr>
          <w:sz w:val="16"/>
        </w:rPr>
        <w:t>target</w:t>
      </w:r>
      <w:r>
        <w:rPr>
          <w:spacing w:val="-2"/>
          <w:sz w:val="16"/>
        </w:rPr>
        <w:t> </w:t>
      </w:r>
      <w:r>
        <w:rPr>
          <w:sz w:val="16"/>
        </w:rPr>
        <w:t>required</w:t>
      </w:r>
      <w:r>
        <w:rPr>
          <w:spacing w:val="-4"/>
          <w:sz w:val="16"/>
        </w:rPr>
        <w:t> </w:t>
      </w:r>
      <w:r>
        <w:rPr>
          <w:sz w:val="16"/>
        </w:rPr>
        <w:t>achieving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4.5%</w:t>
      </w:r>
      <w:r>
        <w:rPr>
          <w:spacing w:val="-3"/>
          <w:sz w:val="16"/>
        </w:rPr>
        <w:t> </w:t>
      </w:r>
      <w:r>
        <w:rPr>
          <w:sz w:val="16"/>
        </w:rPr>
        <w:t>increase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core</w:t>
      </w:r>
      <w:r>
        <w:rPr>
          <w:spacing w:val="-4"/>
          <w:sz w:val="16"/>
        </w:rPr>
        <w:t> </w:t>
      </w:r>
      <w:r>
        <w:rPr>
          <w:sz w:val="16"/>
        </w:rPr>
        <w:t>MH</w:t>
      </w:r>
      <w:r>
        <w:rPr>
          <w:spacing w:val="-2"/>
          <w:sz w:val="16"/>
        </w:rPr>
        <w:t> </w:t>
      </w:r>
      <w:r>
        <w:rPr>
          <w:sz w:val="16"/>
        </w:rPr>
        <w:t>base</w:t>
      </w:r>
      <w:r>
        <w:rPr>
          <w:spacing w:val="-3"/>
          <w:sz w:val="16"/>
        </w:rPr>
        <w:t> </w:t>
      </w:r>
      <w:r>
        <w:rPr>
          <w:sz w:val="16"/>
        </w:rPr>
        <w:t>rent</w:t>
      </w:r>
      <w:r>
        <w:rPr>
          <w:spacing w:val="-3"/>
          <w:sz w:val="16"/>
        </w:rPr>
        <w:t> </w:t>
      </w:r>
      <w:r>
        <w:rPr>
          <w:sz w:val="16"/>
        </w:rPr>
        <w:t>growth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year</w:t>
      </w:r>
      <w:r>
        <w:rPr>
          <w:spacing w:val="-2"/>
          <w:sz w:val="16"/>
        </w:rPr>
        <w:t> </w:t>
      </w:r>
      <w:r>
        <w:rPr>
          <w:sz w:val="16"/>
        </w:rPr>
        <w:t>ended</w:t>
      </w:r>
      <w:r>
        <w:rPr>
          <w:spacing w:val="-6"/>
          <w:sz w:val="16"/>
        </w:rPr>
        <w:t> </w:t>
      </w:r>
      <w:r>
        <w:rPr>
          <w:sz w:val="16"/>
        </w:rPr>
        <w:t>December</w:t>
      </w:r>
      <w:r>
        <w:rPr>
          <w:spacing w:val="-3"/>
          <w:sz w:val="16"/>
        </w:rPr>
        <w:t> </w:t>
      </w:r>
      <w:r>
        <w:rPr>
          <w:sz w:val="16"/>
        </w:rPr>
        <w:t>31,</w:t>
      </w:r>
      <w:r>
        <w:rPr>
          <w:spacing w:val="-2"/>
          <w:sz w:val="16"/>
        </w:rPr>
        <w:t> </w:t>
      </w:r>
      <w:r>
        <w:rPr>
          <w:sz w:val="16"/>
        </w:rPr>
        <w:t>2021</w:t>
      </w:r>
      <w:r>
        <w:rPr>
          <w:spacing w:val="-4"/>
          <w:sz w:val="16"/>
        </w:rPr>
        <w:t> </w:t>
      </w:r>
      <w:r>
        <w:rPr>
          <w:sz w:val="16"/>
        </w:rPr>
        <w:t>as</w:t>
      </w:r>
      <w:r>
        <w:rPr>
          <w:spacing w:val="-2"/>
          <w:sz w:val="16"/>
        </w:rPr>
        <w:t> </w:t>
      </w:r>
      <w:r>
        <w:rPr>
          <w:sz w:val="16"/>
        </w:rPr>
        <w:t>compared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year</w:t>
      </w:r>
      <w:r>
        <w:rPr>
          <w:spacing w:val="-1"/>
          <w:sz w:val="16"/>
        </w:rPr>
        <w:t> </w:t>
      </w:r>
      <w:r>
        <w:rPr>
          <w:sz w:val="16"/>
        </w:rPr>
        <w:t>ended</w:t>
      </w:r>
      <w:r>
        <w:rPr>
          <w:spacing w:val="-2"/>
          <w:sz w:val="16"/>
        </w:rPr>
        <w:t> </w:t>
      </w:r>
      <w:r>
        <w:rPr>
          <w:sz w:val="16"/>
        </w:rPr>
        <w:t>December</w:t>
      </w:r>
      <w:r>
        <w:rPr>
          <w:spacing w:val="-2"/>
          <w:sz w:val="16"/>
        </w:rPr>
        <w:t> </w:t>
      </w:r>
      <w:r>
        <w:rPr>
          <w:sz w:val="16"/>
        </w:rPr>
        <w:t>31,</w:t>
      </w:r>
      <w:r>
        <w:rPr>
          <w:spacing w:val="-1"/>
          <w:sz w:val="16"/>
        </w:rPr>
        <w:t> </w:t>
      </w:r>
      <w:r>
        <w:rPr>
          <w:sz w:val="16"/>
        </w:rPr>
        <w:t>2020,</w:t>
      </w:r>
      <w:r>
        <w:rPr>
          <w:spacing w:val="-2"/>
          <w:sz w:val="16"/>
        </w:rPr>
        <w:t> </w:t>
      </w:r>
      <w:r>
        <w:rPr>
          <w:sz w:val="16"/>
        </w:rPr>
        <w:t>which</w:t>
      </w:r>
      <w:r>
        <w:rPr>
          <w:spacing w:val="-2"/>
          <w:sz w:val="16"/>
        </w:rPr>
        <w:t> </w:t>
      </w:r>
      <w:r>
        <w:rPr>
          <w:sz w:val="16"/>
        </w:rPr>
        <w:t>target</w:t>
      </w:r>
      <w:r>
        <w:rPr>
          <w:spacing w:val="-1"/>
          <w:sz w:val="16"/>
        </w:rPr>
        <w:t> </w:t>
      </w:r>
      <w:r>
        <w:rPr>
          <w:sz w:val="16"/>
        </w:rPr>
        <w:t>was</w:t>
      </w:r>
      <w:r>
        <w:rPr>
          <w:spacing w:val="-2"/>
          <w:sz w:val="16"/>
        </w:rPr>
        <w:t> </w:t>
      </w:r>
      <w:r>
        <w:rPr>
          <w:sz w:val="16"/>
        </w:rPr>
        <w:t>met.</w:t>
      </w:r>
      <w:r>
        <w:rPr>
          <w:spacing w:val="39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total</w:t>
      </w:r>
      <w:r>
        <w:rPr>
          <w:spacing w:val="-1"/>
          <w:sz w:val="16"/>
        </w:rPr>
        <w:t> </w:t>
      </w:r>
      <w:r>
        <w:rPr>
          <w:sz w:val="16"/>
        </w:rPr>
        <w:t>paid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this</w:t>
      </w:r>
      <w:r>
        <w:rPr>
          <w:spacing w:val="-1"/>
          <w:sz w:val="16"/>
        </w:rPr>
        <w:t> </w:t>
      </w:r>
      <w:r>
        <w:rPr>
          <w:sz w:val="16"/>
        </w:rPr>
        <w:t>target</w:t>
      </w:r>
      <w:r>
        <w:rPr>
          <w:spacing w:val="-2"/>
          <w:sz w:val="16"/>
        </w:rPr>
        <w:t> </w:t>
      </w:r>
      <w:r>
        <w:rPr>
          <w:sz w:val="16"/>
        </w:rPr>
        <w:t>was</w:t>
      </w:r>
      <w:r>
        <w:rPr>
          <w:spacing w:val="-1"/>
          <w:sz w:val="16"/>
        </w:rPr>
        <w:t> </w:t>
      </w:r>
      <w:r>
        <w:rPr>
          <w:sz w:val="16"/>
        </w:rPr>
        <w:t>approximately</w:t>
      </w:r>
      <w:r>
        <w:rPr>
          <w:spacing w:val="-2"/>
          <w:sz w:val="16"/>
        </w:rPr>
        <w:t> </w:t>
      </w:r>
      <w:r>
        <w:rPr>
          <w:sz w:val="16"/>
        </w:rPr>
        <w:t>$730,600.</w:t>
      </w:r>
    </w:p>
    <w:p>
      <w:pPr>
        <w:pStyle w:val="ListParagraph"/>
        <w:numPr>
          <w:ilvl w:val="0"/>
          <w:numId w:val="17"/>
        </w:numPr>
        <w:tabs>
          <w:tab w:pos="1150" w:val="left" w:leader="none"/>
        </w:tabs>
        <w:spacing w:line="249" w:lineRule="auto" w:before="102" w:after="0"/>
        <w:ind w:left="1150" w:right="483" w:hanging="360"/>
        <w:jc w:val="left"/>
        <w:rPr>
          <w:sz w:val="16"/>
        </w:rPr>
      </w:pPr>
      <w:r>
        <w:rPr>
          <w:sz w:val="16"/>
        </w:rPr>
        <w:t>This</w:t>
      </w:r>
      <w:r>
        <w:rPr>
          <w:spacing w:val="-4"/>
          <w:sz w:val="16"/>
        </w:rPr>
        <w:t> </w:t>
      </w:r>
      <w:r>
        <w:rPr>
          <w:sz w:val="16"/>
        </w:rPr>
        <w:t>target</w:t>
      </w:r>
      <w:r>
        <w:rPr>
          <w:spacing w:val="-3"/>
          <w:sz w:val="16"/>
        </w:rPr>
        <w:t> </w:t>
      </w:r>
      <w:r>
        <w:rPr>
          <w:sz w:val="16"/>
        </w:rPr>
        <w:t>required</w:t>
      </w:r>
      <w:r>
        <w:rPr>
          <w:spacing w:val="-4"/>
          <w:sz w:val="16"/>
        </w:rPr>
        <w:t> </w:t>
      </w:r>
      <w:r>
        <w:rPr>
          <w:sz w:val="16"/>
        </w:rPr>
        <w:t>that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Company’s</w:t>
      </w:r>
      <w:r>
        <w:rPr>
          <w:spacing w:val="-3"/>
          <w:sz w:val="16"/>
        </w:rPr>
        <w:t> </w:t>
      </w:r>
      <w:r>
        <w:rPr>
          <w:sz w:val="16"/>
        </w:rPr>
        <w:t>annual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seasonal</w:t>
      </w:r>
      <w:r>
        <w:rPr>
          <w:spacing w:val="-3"/>
          <w:sz w:val="16"/>
        </w:rPr>
        <w:t> </w:t>
      </w:r>
      <w:r>
        <w:rPr>
          <w:sz w:val="16"/>
        </w:rPr>
        <w:t>core</w:t>
      </w:r>
      <w:r>
        <w:rPr>
          <w:spacing w:val="-5"/>
          <w:sz w:val="16"/>
        </w:rPr>
        <w:t> </w:t>
      </w:r>
      <w:r>
        <w:rPr>
          <w:sz w:val="16"/>
        </w:rPr>
        <w:t>resort</w:t>
      </w:r>
      <w:r>
        <w:rPr>
          <w:spacing w:val="-3"/>
          <w:sz w:val="16"/>
        </w:rPr>
        <w:t> </w:t>
      </w:r>
      <w:r>
        <w:rPr>
          <w:sz w:val="16"/>
        </w:rPr>
        <w:t>revenue</w:t>
      </w:r>
      <w:r>
        <w:rPr>
          <w:spacing w:val="-4"/>
          <w:sz w:val="16"/>
        </w:rPr>
        <w:t> </w:t>
      </w:r>
      <w:r>
        <w:rPr>
          <w:sz w:val="16"/>
        </w:rPr>
        <w:t>increase</w:t>
      </w:r>
      <w:r>
        <w:rPr>
          <w:spacing w:val="-4"/>
          <w:sz w:val="16"/>
        </w:rPr>
        <w:t> </w:t>
      </w:r>
      <w:r>
        <w:rPr>
          <w:sz w:val="16"/>
        </w:rPr>
        <w:t>2.1%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5"/>
          <w:sz w:val="16"/>
        </w:rPr>
        <w:t> </w:t>
      </w:r>
      <w:r>
        <w:rPr>
          <w:sz w:val="16"/>
        </w:rPr>
        <w:t>transient</w:t>
      </w:r>
      <w:r>
        <w:rPr>
          <w:spacing w:val="-3"/>
          <w:sz w:val="16"/>
        </w:rPr>
        <w:t> </w:t>
      </w:r>
      <w:r>
        <w:rPr>
          <w:sz w:val="16"/>
        </w:rPr>
        <w:t>resort</w:t>
      </w:r>
      <w:r>
        <w:rPr>
          <w:spacing w:val="-3"/>
          <w:sz w:val="16"/>
        </w:rPr>
        <w:t> </w:t>
      </w:r>
      <w:r>
        <w:rPr>
          <w:sz w:val="16"/>
        </w:rPr>
        <w:t>revenue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1"/>
          <w:sz w:val="16"/>
        </w:rPr>
        <w:t> </w:t>
      </w:r>
      <w:r>
        <w:rPr>
          <w:sz w:val="16"/>
        </w:rPr>
        <w:t>dues revenue increase 9.7% for the year ended December 31, 2021 as compared to December 31, 2020, which target was met.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total paid</w:t>
      </w:r>
      <w:r>
        <w:rPr>
          <w:spacing w:val="-1"/>
          <w:sz w:val="16"/>
        </w:rPr>
        <w:t> </w:t>
      </w:r>
      <w:r>
        <w:rPr>
          <w:sz w:val="16"/>
        </w:rPr>
        <w:t>for this</w:t>
      </w:r>
      <w:r>
        <w:rPr>
          <w:spacing w:val="-1"/>
          <w:sz w:val="16"/>
        </w:rPr>
        <w:t> </w:t>
      </w:r>
      <w:r>
        <w:rPr>
          <w:sz w:val="16"/>
        </w:rPr>
        <w:t>target was approximately $730,600.</w:t>
      </w:r>
    </w:p>
    <w:p>
      <w:pPr>
        <w:pStyle w:val="ListParagraph"/>
        <w:numPr>
          <w:ilvl w:val="0"/>
          <w:numId w:val="17"/>
        </w:numPr>
        <w:tabs>
          <w:tab w:pos="1150" w:val="left" w:leader="none"/>
        </w:tabs>
        <w:spacing w:line="249" w:lineRule="auto" w:before="101" w:after="0"/>
        <w:ind w:left="1150" w:right="375" w:hanging="360"/>
        <w:jc w:val="left"/>
        <w:rPr>
          <w:sz w:val="16"/>
        </w:rPr>
      </w:pPr>
      <w:r>
        <w:rPr>
          <w:sz w:val="16"/>
        </w:rPr>
        <w:t>This target was comprised of three equal components related to: (i) the number of paid member sales units; (ii) RV dealer</w:t>
      </w:r>
      <w:r>
        <w:rPr>
          <w:spacing w:val="1"/>
          <w:sz w:val="16"/>
        </w:rPr>
        <w:t> </w:t>
      </w:r>
      <w:r>
        <w:rPr>
          <w:sz w:val="16"/>
        </w:rPr>
        <w:t>activations; and (iii) completion of expansion sites, which component targets were all met. The total paid to the NEOs for this target</w:t>
      </w:r>
      <w:r>
        <w:rPr>
          <w:spacing w:val="-42"/>
          <w:sz w:val="16"/>
        </w:rPr>
        <w:t> </w:t>
      </w:r>
      <w:r>
        <w:rPr>
          <w:sz w:val="16"/>
        </w:rPr>
        <w:t>was</w:t>
      </w:r>
      <w:r>
        <w:rPr>
          <w:spacing w:val="-1"/>
          <w:sz w:val="16"/>
        </w:rPr>
        <w:t> </w:t>
      </w:r>
      <w:r>
        <w:rPr>
          <w:sz w:val="16"/>
        </w:rPr>
        <w:t>approximately $730,600.</w:t>
      </w:r>
    </w:p>
    <w:p>
      <w:pPr>
        <w:pStyle w:val="ListParagraph"/>
        <w:numPr>
          <w:ilvl w:val="0"/>
          <w:numId w:val="17"/>
        </w:numPr>
        <w:tabs>
          <w:tab w:pos="1150" w:val="left" w:leader="none"/>
        </w:tabs>
        <w:spacing w:line="249" w:lineRule="auto" w:before="102" w:after="0"/>
        <w:ind w:left="1150" w:right="319" w:hanging="360"/>
        <w:jc w:val="left"/>
        <w:rPr>
          <w:sz w:val="16"/>
        </w:rPr>
      </w:pPr>
      <w:r>
        <w:rPr>
          <w:sz w:val="16"/>
        </w:rPr>
        <w:t>This target was comprised of two equal components related to: (i) core net operating income, excluding property management</w:t>
      </w:r>
      <w:r>
        <w:rPr>
          <w:spacing w:val="1"/>
          <w:sz w:val="16"/>
        </w:rPr>
        <w:t> </w:t>
      </w:r>
      <w:r>
        <w:rPr>
          <w:sz w:val="16"/>
        </w:rPr>
        <w:t>expense,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increase</w:t>
      </w:r>
      <w:r>
        <w:rPr>
          <w:spacing w:val="-3"/>
          <w:sz w:val="16"/>
        </w:rPr>
        <w:t> </w:t>
      </w:r>
      <w:r>
        <w:rPr>
          <w:sz w:val="16"/>
        </w:rPr>
        <w:t>3.8%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year</w:t>
      </w:r>
      <w:r>
        <w:rPr>
          <w:spacing w:val="-3"/>
          <w:sz w:val="16"/>
        </w:rPr>
        <w:t> </w:t>
      </w:r>
      <w:r>
        <w:rPr>
          <w:sz w:val="16"/>
        </w:rPr>
        <w:t>ended</w:t>
      </w:r>
      <w:r>
        <w:rPr>
          <w:spacing w:val="-3"/>
          <w:sz w:val="16"/>
        </w:rPr>
        <w:t> </w:t>
      </w:r>
      <w:r>
        <w:rPr>
          <w:sz w:val="16"/>
        </w:rPr>
        <w:t>December</w:t>
      </w:r>
      <w:r>
        <w:rPr>
          <w:spacing w:val="-3"/>
          <w:sz w:val="16"/>
        </w:rPr>
        <w:t> </w:t>
      </w:r>
      <w:r>
        <w:rPr>
          <w:sz w:val="16"/>
        </w:rPr>
        <w:t>31,</w:t>
      </w:r>
      <w:r>
        <w:rPr>
          <w:spacing w:val="-2"/>
          <w:sz w:val="16"/>
        </w:rPr>
        <w:t> </w:t>
      </w:r>
      <w:r>
        <w:rPr>
          <w:sz w:val="16"/>
        </w:rPr>
        <w:t>2021</w:t>
      </w:r>
      <w:r>
        <w:rPr>
          <w:spacing w:val="-4"/>
          <w:sz w:val="16"/>
        </w:rPr>
        <w:t> </w:t>
      </w:r>
      <w:r>
        <w:rPr>
          <w:sz w:val="16"/>
        </w:rPr>
        <w:t>as</w:t>
      </w:r>
      <w:r>
        <w:rPr>
          <w:spacing w:val="-3"/>
          <w:sz w:val="16"/>
        </w:rPr>
        <w:t> </w:t>
      </w:r>
      <w:r>
        <w:rPr>
          <w:sz w:val="16"/>
        </w:rPr>
        <w:t>compared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year</w:t>
      </w:r>
      <w:r>
        <w:rPr>
          <w:spacing w:val="-3"/>
          <w:sz w:val="16"/>
        </w:rPr>
        <w:t> </w:t>
      </w:r>
      <w:r>
        <w:rPr>
          <w:sz w:val="16"/>
        </w:rPr>
        <w:t>ended</w:t>
      </w:r>
      <w:r>
        <w:rPr>
          <w:spacing w:val="-4"/>
          <w:sz w:val="16"/>
        </w:rPr>
        <w:t> </w:t>
      </w:r>
      <w:r>
        <w:rPr>
          <w:sz w:val="16"/>
        </w:rPr>
        <w:t>December</w:t>
      </w:r>
      <w:r>
        <w:rPr>
          <w:spacing w:val="-2"/>
          <w:sz w:val="16"/>
        </w:rPr>
        <w:t> </w:t>
      </w:r>
      <w:r>
        <w:rPr>
          <w:sz w:val="16"/>
        </w:rPr>
        <w:t>31,</w:t>
      </w:r>
      <w:r>
        <w:rPr>
          <w:spacing w:val="-3"/>
          <w:sz w:val="16"/>
        </w:rPr>
        <w:t> </w:t>
      </w:r>
      <w:r>
        <w:rPr>
          <w:sz w:val="16"/>
        </w:rPr>
        <w:t>2020,</w:t>
      </w:r>
      <w:r>
        <w:rPr>
          <w:spacing w:val="-2"/>
          <w:sz w:val="16"/>
        </w:rPr>
        <w:t> </w:t>
      </w:r>
      <w:r>
        <w:rPr>
          <w:sz w:val="16"/>
        </w:rPr>
        <w:t>which</w:t>
      </w:r>
      <w:r>
        <w:rPr>
          <w:spacing w:val="-4"/>
          <w:sz w:val="16"/>
        </w:rPr>
        <w:t> </w:t>
      </w:r>
      <w:r>
        <w:rPr>
          <w:sz w:val="16"/>
        </w:rPr>
        <w:t>target</w:t>
      </w:r>
      <w:r>
        <w:rPr>
          <w:spacing w:val="1"/>
          <w:sz w:val="16"/>
        </w:rPr>
        <w:t> </w:t>
      </w:r>
      <w:r>
        <w:rPr>
          <w:sz w:val="16"/>
        </w:rPr>
        <w:t>was met; and (ii) core expense growth less than 3.4% for the year ended December 31, 2021 as compared to the year ended</w:t>
      </w:r>
      <w:r>
        <w:rPr>
          <w:spacing w:val="1"/>
          <w:sz w:val="16"/>
        </w:rPr>
        <w:t> </w:t>
      </w:r>
      <w:r>
        <w:rPr>
          <w:sz w:val="16"/>
        </w:rPr>
        <w:t>December</w:t>
      </w:r>
      <w:r>
        <w:rPr>
          <w:spacing w:val="-2"/>
          <w:sz w:val="16"/>
        </w:rPr>
        <w:t> </w:t>
      </w:r>
      <w:r>
        <w:rPr>
          <w:sz w:val="16"/>
        </w:rPr>
        <w:t>31,</w:t>
      </w:r>
      <w:r>
        <w:rPr>
          <w:spacing w:val="-1"/>
          <w:sz w:val="16"/>
        </w:rPr>
        <w:t> </w:t>
      </w:r>
      <w:r>
        <w:rPr>
          <w:sz w:val="16"/>
        </w:rPr>
        <w:t>2020,</w:t>
      </w:r>
      <w:r>
        <w:rPr>
          <w:spacing w:val="-1"/>
          <w:sz w:val="16"/>
        </w:rPr>
        <w:t> </w:t>
      </w:r>
      <w:r>
        <w:rPr>
          <w:sz w:val="16"/>
        </w:rPr>
        <w:t>which</w:t>
      </w:r>
      <w:r>
        <w:rPr>
          <w:spacing w:val="-3"/>
          <w:sz w:val="16"/>
        </w:rPr>
        <w:t> </w:t>
      </w:r>
      <w:r>
        <w:rPr>
          <w:sz w:val="16"/>
        </w:rPr>
        <w:t>target</w:t>
      </w:r>
      <w:r>
        <w:rPr>
          <w:spacing w:val="-1"/>
          <w:sz w:val="16"/>
        </w:rPr>
        <w:t> </w:t>
      </w:r>
      <w:r>
        <w:rPr>
          <w:sz w:val="16"/>
        </w:rPr>
        <w:t>was</w:t>
      </w:r>
      <w:r>
        <w:rPr>
          <w:spacing w:val="-1"/>
          <w:sz w:val="16"/>
        </w:rPr>
        <w:t> </w:t>
      </w:r>
      <w:r>
        <w:rPr>
          <w:sz w:val="16"/>
        </w:rPr>
        <w:t>not</w:t>
      </w:r>
      <w:r>
        <w:rPr>
          <w:spacing w:val="-1"/>
          <w:sz w:val="16"/>
        </w:rPr>
        <w:t> </w:t>
      </w:r>
      <w:r>
        <w:rPr>
          <w:sz w:val="16"/>
        </w:rPr>
        <w:t>met.</w:t>
      </w:r>
      <w:r>
        <w:rPr>
          <w:spacing w:val="39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total</w:t>
      </w:r>
      <w:r>
        <w:rPr>
          <w:spacing w:val="-1"/>
          <w:sz w:val="16"/>
        </w:rPr>
        <w:t> </w:t>
      </w:r>
      <w:r>
        <w:rPr>
          <w:sz w:val="16"/>
        </w:rPr>
        <w:t>paid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NEOs</w:t>
      </w:r>
      <w:r>
        <w:rPr>
          <w:spacing w:val="-1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this</w:t>
      </w:r>
      <w:r>
        <w:rPr>
          <w:spacing w:val="-1"/>
          <w:sz w:val="16"/>
        </w:rPr>
        <w:t> </w:t>
      </w:r>
      <w:r>
        <w:rPr>
          <w:sz w:val="16"/>
        </w:rPr>
        <w:t>target</w:t>
      </w:r>
      <w:r>
        <w:rPr>
          <w:spacing w:val="-2"/>
          <w:sz w:val="16"/>
        </w:rPr>
        <w:t> </w:t>
      </w:r>
      <w:r>
        <w:rPr>
          <w:sz w:val="16"/>
        </w:rPr>
        <w:t>was</w:t>
      </w:r>
      <w:r>
        <w:rPr>
          <w:spacing w:val="-1"/>
          <w:sz w:val="16"/>
        </w:rPr>
        <w:t> </w:t>
      </w:r>
      <w:r>
        <w:rPr>
          <w:sz w:val="16"/>
        </w:rPr>
        <w:t>approximately</w:t>
      </w:r>
      <w:r>
        <w:rPr>
          <w:spacing w:val="-1"/>
          <w:sz w:val="16"/>
        </w:rPr>
        <w:t> </w:t>
      </w:r>
      <w:r>
        <w:rPr>
          <w:sz w:val="16"/>
        </w:rPr>
        <w:t>$365,300.</w:t>
      </w:r>
    </w:p>
    <w:p>
      <w:pPr>
        <w:pStyle w:val="ListParagraph"/>
        <w:numPr>
          <w:ilvl w:val="0"/>
          <w:numId w:val="17"/>
        </w:numPr>
        <w:tabs>
          <w:tab w:pos="1150" w:val="left" w:leader="none"/>
        </w:tabs>
        <w:spacing w:line="249" w:lineRule="auto" w:before="103" w:after="0"/>
        <w:ind w:left="1150" w:right="559" w:hanging="360"/>
        <w:jc w:val="left"/>
        <w:rPr>
          <w:sz w:val="16"/>
        </w:rPr>
      </w:pPr>
      <w:r>
        <w:rPr>
          <w:sz w:val="16"/>
        </w:rPr>
        <w:t>This target was comprised of four equal components related to: (i) reduction of working capital commitment, which portion of the</w:t>
      </w:r>
      <w:r>
        <w:rPr>
          <w:spacing w:val="1"/>
          <w:sz w:val="16"/>
        </w:rPr>
        <w:t> </w:t>
      </w:r>
      <w:r>
        <w:rPr>
          <w:sz w:val="16"/>
        </w:rPr>
        <w:t>target was met; (ii) an increase in occupancy from homeowners, which portion of the target was met; (iii) reduction of rental</w:t>
      </w:r>
      <w:r>
        <w:rPr>
          <w:spacing w:val="1"/>
          <w:sz w:val="16"/>
        </w:rPr>
        <w:t> </w:t>
      </w:r>
      <w:r>
        <w:rPr>
          <w:sz w:val="16"/>
        </w:rPr>
        <w:t>expenses,</w:t>
      </w:r>
      <w:r>
        <w:rPr>
          <w:spacing w:val="-3"/>
          <w:sz w:val="16"/>
        </w:rPr>
        <w:t> </w:t>
      </w:r>
      <w:r>
        <w:rPr>
          <w:sz w:val="16"/>
        </w:rPr>
        <w:t>which</w:t>
      </w:r>
      <w:r>
        <w:rPr>
          <w:spacing w:val="-4"/>
          <w:sz w:val="16"/>
        </w:rPr>
        <w:t> </w:t>
      </w:r>
      <w:r>
        <w:rPr>
          <w:sz w:val="16"/>
        </w:rPr>
        <w:t>portion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target</w:t>
      </w:r>
      <w:r>
        <w:rPr>
          <w:spacing w:val="-3"/>
          <w:sz w:val="16"/>
        </w:rPr>
        <w:t> </w:t>
      </w:r>
      <w:r>
        <w:rPr>
          <w:sz w:val="16"/>
        </w:rPr>
        <w:t>was</w:t>
      </w:r>
      <w:r>
        <w:rPr>
          <w:spacing w:val="-2"/>
          <w:sz w:val="16"/>
        </w:rPr>
        <w:t> </w:t>
      </w:r>
      <w:r>
        <w:rPr>
          <w:sz w:val="16"/>
        </w:rPr>
        <w:t>met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threshold</w:t>
      </w:r>
      <w:r>
        <w:rPr>
          <w:spacing w:val="-4"/>
          <w:sz w:val="16"/>
        </w:rPr>
        <w:t> </w:t>
      </w:r>
      <w:r>
        <w:rPr>
          <w:sz w:val="16"/>
        </w:rPr>
        <w:t>level;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(iv)</w:t>
      </w:r>
      <w:r>
        <w:rPr>
          <w:spacing w:val="-3"/>
          <w:sz w:val="16"/>
        </w:rPr>
        <w:t> </w:t>
      </w:r>
      <w:r>
        <w:rPr>
          <w:sz w:val="16"/>
        </w:rPr>
        <w:t>management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chattel</w:t>
      </w:r>
      <w:r>
        <w:rPr>
          <w:spacing w:val="-3"/>
          <w:sz w:val="16"/>
        </w:rPr>
        <w:t> </w:t>
      </w:r>
      <w:r>
        <w:rPr>
          <w:sz w:val="16"/>
        </w:rPr>
        <w:t>financing,</w:t>
      </w:r>
      <w:r>
        <w:rPr>
          <w:spacing w:val="-3"/>
          <w:sz w:val="16"/>
        </w:rPr>
        <w:t> </w:t>
      </w:r>
      <w:r>
        <w:rPr>
          <w:sz w:val="16"/>
        </w:rPr>
        <w:t>which</w:t>
      </w:r>
      <w:r>
        <w:rPr>
          <w:spacing w:val="-3"/>
          <w:sz w:val="16"/>
        </w:rPr>
        <w:t> </w:t>
      </w:r>
      <w:r>
        <w:rPr>
          <w:sz w:val="16"/>
        </w:rPr>
        <w:t>portion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target</w:t>
      </w:r>
      <w:r>
        <w:rPr>
          <w:spacing w:val="-1"/>
          <w:sz w:val="16"/>
        </w:rPr>
        <w:t> </w:t>
      </w:r>
      <w:r>
        <w:rPr>
          <w:sz w:val="16"/>
        </w:rPr>
        <w:t>was</w:t>
      </w:r>
      <w:r>
        <w:rPr>
          <w:spacing w:val="-1"/>
          <w:sz w:val="16"/>
        </w:rPr>
        <w:t> </w:t>
      </w:r>
      <w:r>
        <w:rPr>
          <w:sz w:val="16"/>
        </w:rPr>
        <w:t>met.</w:t>
      </w:r>
      <w:r>
        <w:rPr>
          <w:spacing w:val="35"/>
          <w:sz w:val="16"/>
        </w:rPr>
        <w:t> </w:t>
      </w:r>
      <w:r>
        <w:rPr>
          <w:sz w:val="16"/>
        </w:rPr>
        <w:t>As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2"/>
          <w:sz w:val="16"/>
        </w:rPr>
        <w:t> </w:t>
      </w:r>
      <w:r>
        <w:rPr>
          <w:sz w:val="16"/>
        </w:rPr>
        <w:t>result, the</w:t>
      </w:r>
      <w:r>
        <w:rPr>
          <w:spacing w:val="-2"/>
          <w:sz w:val="16"/>
        </w:rPr>
        <w:t> </w:t>
      </w:r>
      <w:r>
        <w:rPr>
          <w:sz w:val="16"/>
        </w:rPr>
        <w:t>NEOs were</w:t>
      </w:r>
      <w:r>
        <w:rPr>
          <w:spacing w:val="-2"/>
          <w:sz w:val="16"/>
        </w:rPr>
        <w:t> </w:t>
      </w:r>
      <w:r>
        <w:rPr>
          <w:sz w:val="16"/>
        </w:rPr>
        <w:t>paid</w:t>
      </w:r>
      <w:r>
        <w:rPr>
          <w:spacing w:val="-1"/>
          <w:sz w:val="16"/>
        </w:rPr>
        <w:t> </w:t>
      </w:r>
      <w:r>
        <w:rPr>
          <w:sz w:val="16"/>
        </w:rPr>
        <w:t>93.7%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this target</w:t>
      </w:r>
      <w:r>
        <w:rPr>
          <w:spacing w:val="-1"/>
          <w:sz w:val="16"/>
        </w:rPr>
        <w:t> </w:t>
      </w:r>
      <w:r>
        <w:rPr>
          <w:sz w:val="16"/>
        </w:rPr>
        <w:t>or</w:t>
      </w:r>
      <w:r>
        <w:rPr>
          <w:spacing w:val="-1"/>
          <w:sz w:val="16"/>
        </w:rPr>
        <w:t> </w:t>
      </w:r>
      <w:r>
        <w:rPr>
          <w:sz w:val="16"/>
        </w:rPr>
        <w:t>approximately $684,900.</w:t>
      </w:r>
    </w:p>
    <w:p>
      <w:pPr>
        <w:pStyle w:val="ListParagraph"/>
        <w:numPr>
          <w:ilvl w:val="0"/>
          <w:numId w:val="17"/>
        </w:numPr>
        <w:tabs>
          <w:tab w:pos="1150" w:val="left" w:leader="none"/>
        </w:tabs>
        <w:spacing w:line="249" w:lineRule="auto" w:before="103" w:after="0"/>
        <w:ind w:left="1150" w:right="470" w:hanging="360"/>
        <w:jc w:val="left"/>
        <w:rPr>
          <w:sz w:val="16"/>
        </w:rPr>
      </w:pPr>
      <w:r>
        <w:rPr>
          <w:sz w:val="16"/>
        </w:rPr>
        <w:t>At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beginning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2021,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Compensation</w:t>
      </w:r>
      <w:r>
        <w:rPr>
          <w:spacing w:val="-5"/>
          <w:sz w:val="16"/>
        </w:rPr>
        <w:t> </w:t>
      </w:r>
      <w:r>
        <w:rPr>
          <w:sz w:val="16"/>
        </w:rPr>
        <w:t>Committee,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5"/>
          <w:sz w:val="16"/>
        </w:rPr>
        <w:t> </w:t>
      </w:r>
      <w:r>
        <w:rPr>
          <w:sz w:val="16"/>
        </w:rPr>
        <w:t>consultation</w:t>
      </w:r>
      <w:r>
        <w:rPr>
          <w:spacing w:val="-5"/>
          <w:sz w:val="16"/>
        </w:rPr>
        <w:t> </w:t>
      </w:r>
      <w:r>
        <w:rPr>
          <w:sz w:val="16"/>
        </w:rPr>
        <w:t>with</w:t>
      </w:r>
      <w:r>
        <w:rPr>
          <w:spacing w:val="-5"/>
          <w:sz w:val="16"/>
        </w:rPr>
        <w:t> </w:t>
      </w:r>
      <w:r>
        <w:rPr>
          <w:sz w:val="16"/>
        </w:rPr>
        <w:t>Ms.</w:t>
      </w:r>
      <w:r>
        <w:rPr>
          <w:spacing w:val="-4"/>
          <w:sz w:val="16"/>
        </w:rPr>
        <w:t> </w:t>
      </w:r>
      <w:r>
        <w:rPr>
          <w:sz w:val="16"/>
        </w:rPr>
        <w:t>Nader,</w:t>
      </w:r>
      <w:r>
        <w:rPr>
          <w:spacing w:val="-4"/>
          <w:sz w:val="16"/>
        </w:rPr>
        <w:t> </w:t>
      </w:r>
      <w:r>
        <w:rPr>
          <w:sz w:val="16"/>
        </w:rPr>
        <w:t>developed</w:t>
      </w:r>
      <w:r>
        <w:rPr>
          <w:spacing w:val="-5"/>
          <w:sz w:val="16"/>
        </w:rPr>
        <w:t> </w:t>
      </w:r>
      <w:r>
        <w:rPr>
          <w:sz w:val="16"/>
        </w:rPr>
        <w:t>strategic</w:t>
      </w:r>
      <w:r>
        <w:rPr>
          <w:spacing w:val="-4"/>
          <w:sz w:val="16"/>
        </w:rPr>
        <w:t> </w:t>
      </w:r>
      <w:r>
        <w:rPr>
          <w:sz w:val="16"/>
        </w:rPr>
        <w:t>initiatives</w:t>
      </w:r>
      <w:r>
        <w:rPr>
          <w:spacing w:val="-4"/>
          <w:sz w:val="16"/>
        </w:rPr>
        <w:t> </w:t>
      </w:r>
      <w:r>
        <w:rPr>
          <w:sz w:val="16"/>
        </w:rPr>
        <w:t>upon</w:t>
      </w:r>
      <w:r>
        <w:rPr>
          <w:spacing w:val="-5"/>
          <w:sz w:val="16"/>
        </w:rPr>
        <w:t> </w:t>
      </w:r>
      <w:r>
        <w:rPr>
          <w:sz w:val="16"/>
        </w:rPr>
        <w:t>which</w:t>
      </w:r>
      <w:r>
        <w:rPr>
          <w:spacing w:val="1"/>
          <w:sz w:val="16"/>
        </w:rPr>
        <w:t> </w:t>
      </w:r>
      <w:r>
        <w:rPr>
          <w:sz w:val="16"/>
        </w:rPr>
        <w:t>each NEO would be evaluated and which would be used in determining the discretionary portion of their bonuses. Management</w:t>
      </w:r>
      <w:r>
        <w:rPr>
          <w:spacing w:val="1"/>
          <w:sz w:val="16"/>
        </w:rPr>
        <w:t> </w:t>
      </w:r>
      <w:r>
        <w:rPr>
          <w:sz w:val="16"/>
        </w:rPr>
        <w:t>focused on key strategic areas for the Company including, but not limited to, revenue management, home and membership sales,</w:t>
      </w:r>
      <w:r>
        <w:rPr>
          <w:spacing w:val="-42"/>
          <w:sz w:val="16"/>
        </w:rPr>
        <w:t> </w:t>
      </w:r>
      <w:r>
        <w:rPr>
          <w:sz w:val="16"/>
        </w:rPr>
        <w:t>expense management, property maintenance and improvements, portfolio assessment, property development, innovation and</w:t>
      </w:r>
      <w:r>
        <w:rPr>
          <w:spacing w:val="1"/>
          <w:sz w:val="16"/>
        </w:rPr>
        <w:t> </w:t>
      </w:r>
      <w:r>
        <w:rPr>
          <w:sz w:val="16"/>
        </w:rPr>
        <w:t>technology, ESG initiatives and employee relations. Throughout 2021, each NEO met with Ms. Nader to discuss achievement of</w:t>
      </w:r>
      <w:r>
        <w:rPr>
          <w:spacing w:val="1"/>
          <w:sz w:val="16"/>
        </w:rPr>
        <w:t> </w:t>
      </w:r>
      <w:r>
        <w:rPr>
          <w:sz w:val="16"/>
        </w:rPr>
        <w:t>these strategic initiatives.</w:t>
      </w:r>
      <w:r>
        <w:rPr>
          <w:spacing w:val="1"/>
          <w:sz w:val="16"/>
        </w:rPr>
        <w:t> </w:t>
      </w:r>
      <w:r>
        <w:rPr>
          <w:sz w:val="16"/>
        </w:rPr>
        <w:t>The Compensation Committee reviewed these evaluations and considered the results of these</w:t>
      </w:r>
      <w:r>
        <w:rPr>
          <w:spacing w:val="1"/>
          <w:sz w:val="16"/>
        </w:rPr>
        <w:t> </w:t>
      </w:r>
      <w:r>
        <w:rPr>
          <w:sz w:val="16"/>
        </w:rPr>
        <w:t>evaluations in the overall assessment of each NEO’s performance. Payment of the discretionary component is at the discretion of</w:t>
      </w:r>
      <w:r>
        <w:rPr>
          <w:spacing w:val="-42"/>
          <w:sz w:val="16"/>
        </w:rPr>
        <w:t> </w:t>
      </w:r>
      <w:r>
        <w:rPr>
          <w:sz w:val="16"/>
        </w:rPr>
        <w:t>the Compensation Committee based on its assessment of the strategic initiatives established for the executive officer team, as a</w:t>
      </w:r>
      <w:r>
        <w:rPr>
          <w:spacing w:val="1"/>
          <w:sz w:val="16"/>
        </w:rPr>
        <w:t> </w:t>
      </w:r>
      <w:r>
        <w:rPr>
          <w:sz w:val="16"/>
        </w:rPr>
        <w:t>whole, including the discretion to apportion the aggregate discretionary bonus amount amongst the eligible executives. The</w:t>
      </w:r>
      <w:r>
        <w:rPr>
          <w:spacing w:val="1"/>
          <w:sz w:val="16"/>
        </w:rPr>
        <w:t> </w:t>
      </w:r>
      <w:r>
        <w:rPr>
          <w:sz w:val="16"/>
        </w:rPr>
        <w:t>strategic initiatives were also reviewed and discussed with the Strategic Planning Committee.</w:t>
      </w:r>
      <w:r>
        <w:rPr>
          <w:spacing w:val="1"/>
          <w:sz w:val="16"/>
        </w:rPr>
        <w:t> </w:t>
      </w:r>
      <w:r>
        <w:rPr>
          <w:sz w:val="16"/>
        </w:rPr>
        <w:t>As a result, Mr. Seavey, Mr. Waite,</w:t>
      </w:r>
      <w:r>
        <w:rPr>
          <w:spacing w:val="-42"/>
          <w:sz w:val="16"/>
        </w:rPr>
        <w:t> </w:t>
      </w:r>
      <w:r>
        <w:rPr>
          <w:sz w:val="16"/>
        </w:rPr>
        <w:t>Mr.</w:t>
      </w:r>
      <w:r>
        <w:rPr>
          <w:spacing w:val="-1"/>
          <w:sz w:val="16"/>
        </w:rPr>
        <w:t> </w:t>
      </w:r>
      <w:r>
        <w:rPr>
          <w:sz w:val="16"/>
        </w:rPr>
        <w:t>Maynard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Mr.</w:t>
      </w:r>
      <w:r>
        <w:rPr>
          <w:spacing w:val="-1"/>
          <w:sz w:val="16"/>
        </w:rPr>
        <w:t> </w:t>
      </w:r>
      <w:r>
        <w:rPr>
          <w:sz w:val="16"/>
        </w:rPr>
        <w:t>Eldersveld</w:t>
      </w:r>
      <w:r>
        <w:rPr>
          <w:spacing w:val="-2"/>
          <w:sz w:val="16"/>
        </w:rPr>
        <w:t> </w:t>
      </w:r>
      <w:r>
        <w:rPr>
          <w:sz w:val="16"/>
        </w:rPr>
        <w:t>each</w:t>
      </w:r>
      <w:r>
        <w:rPr>
          <w:spacing w:val="-2"/>
          <w:sz w:val="16"/>
        </w:rPr>
        <w:t> </w:t>
      </w:r>
      <w:r>
        <w:rPr>
          <w:sz w:val="16"/>
        </w:rPr>
        <w:t>received</w:t>
      </w:r>
      <w:r>
        <w:rPr>
          <w:spacing w:val="-2"/>
          <w:sz w:val="16"/>
        </w:rPr>
        <w:t> </w:t>
      </w:r>
      <w:r>
        <w:rPr>
          <w:sz w:val="16"/>
        </w:rPr>
        <w:t>100%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discretionary</w:t>
      </w:r>
      <w:r>
        <w:rPr>
          <w:spacing w:val="-1"/>
          <w:sz w:val="16"/>
        </w:rPr>
        <w:t> </w:t>
      </w:r>
      <w:r>
        <w:rPr>
          <w:sz w:val="16"/>
        </w:rPr>
        <w:t>bonus</w:t>
      </w:r>
      <w:r>
        <w:rPr>
          <w:spacing w:val="-1"/>
          <w:sz w:val="16"/>
        </w:rPr>
        <w:t> </w:t>
      </w:r>
      <w:r>
        <w:rPr>
          <w:sz w:val="16"/>
        </w:rPr>
        <w:t>potential</w:t>
      </w:r>
      <w:r>
        <w:rPr>
          <w:spacing w:val="-1"/>
          <w:sz w:val="16"/>
        </w:rPr>
        <w:t> </w:t>
      </w:r>
      <w:r>
        <w:rPr>
          <w:sz w:val="16"/>
        </w:rPr>
        <w:t>for 2021.</w:t>
      </w:r>
    </w:p>
    <w:p>
      <w:pPr>
        <w:spacing w:line="249" w:lineRule="auto" w:before="107"/>
        <w:ind w:left="1150" w:right="420" w:firstLine="0"/>
        <w:jc w:val="both"/>
        <w:rPr>
          <w:sz w:val="16"/>
        </w:rPr>
      </w:pP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Compensation</w:t>
      </w:r>
      <w:r>
        <w:rPr>
          <w:spacing w:val="-5"/>
          <w:sz w:val="16"/>
        </w:rPr>
        <w:t> </w:t>
      </w:r>
      <w:r>
        <w:rPr>
          <w:sz w:val="16"/>
        </w:rPr>
        <w:t>Committee’s</w:t>
      </w:r>
      <w:r>
        <w:rPr>
          <w:spacing w:val="-4"/>
          <w:sz w:val="16"/>
        </w:rPr>
        <w:t> </w:t>
      </w:r>
      <w:r>
        <w:rPr>
          <w:sz w:val="16"/>
        </w:rPr>
        <w:t>evaluation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Ms.</w:t>
      </w:r>
      <w:r>
        <w:rPr>
          <w:spacing w:val="-4"/>
          <w:sz w:val="16"/>
        </w:rPr>
        <w:t> </w:t>
      </w:r>
      <w:r>
        <w:rPr>
          <w:sz w:val="16"/>
        </w:rPr>
        <w:t>Nader’s</w:t>
      </w:r>
      <w:r>
        <w:rPr>
          <w:spacing w:val="-4"/>
          <w:sz w:val="16"/>
        </w:rPr>
        <w:t> </w:t>
      </w:r>
      <w:r>
        <w:rPr>
          <w:sz w:val="16"/>
        </w:rPr>
        <w:t>achievements</w:t>
      </w:r>
      <w:r>
        <w:rPr>
          <w:spacing w:val="-4"/>
          <w:sz w:val="16"/>
        </w:rPr>
        <w:t> </w:t>
      </w:r>
      <w:r>
        <w:rPr>
          <w:sz w:val="16"/>
        </w:rPr>
        <w:t>included</w:t>
      </w:r>
      <w:r>
        <w:rPr>
          <w:spacing w:val="-5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review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Company’s</w:t>
      </w:r>
      <w:r>
        <w:rPr>
          <w:spacing w:val="-4"/>
          <w:sz w:val="16"/>
        </w:rPr>
        <w:t> </w:t>
      </w:r>
      <w:r>
        <w:rPr>
          <w:sz w:val="16"/>
        </w:rPr>
        <w:t>overall</w:t>
      </w:r>
      <w:r>
        <w:rPr>
          <w:spacing w:val="-4"/>
          <w:sz w:val="16"/>
        </w:rPr>
        <w:t> </w:t>
      </w:r>
      <w:r>
        <w:rPr>
          <w:sz w:val="16"/>
        </w:rPr>
        <w:t>performance,</w:t>
      </w:r>
      <w:r>
        <w:rPr>
          <w:spacing w:val="1"/>
          <w:sz w:val="16"/>
        </w:rPr>
        <w:t> </w:t>
      </w:r>
      <w:r>
        <w:rPr>
          <w:sz w:val="16"/>
        </w:rPr>
        <w:t>as well as the attainment of the strategic initiative goals by each of the other NEOs. Ms. Nader received 100% of her discretionary</w:t>
      </w:r>
      <w:r>
        <w:rPr>
          <w:spacing w:val="1"/>
          <w:sz w:val="16"/>
        </w:rPr>
        <w:t> </w:t>
      </w:r>
      <w:r>
        <w:rPr>
          <w:sz w:val="16"/>
        </w:rPr>
        <w:t>bonus</w:t>
      </w:r>
      <w:r>
        <w:rPr>
          <w:spacing w:val="-1"/>
          <w:sz w:val="16"/>
        </w:rPr>
        <w:t> </w:t>
      </w:r>
      <w:r>
        <w:rPr>
          <w:sz w:val="16"/>
        </w:rPr>
        <w:t>potential for 2021.</w:t>
      </w:r>
    </w:p>
    <w:p>
      <w:pPr>
        <w:spacing w:before="102"/>
        <w:ind w:left="1150" w:right="0" w:firstLine="0"/>
        <w:jc w:val="both"/>
        <w:rPr>
          <w:sz w:val="16"/>
        </w:rPr>
      </w:pP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total</w:t>
      </w:r>
      <w:r>
        <w:rPr>
          <w:spacing w:val="-3"/>
          <w:sz w:val="16"/>
        </w:rPr>
        <w:t> </w:t>
      </w:r>
      <w:r>
        <w:rPr>
          <w:sz w:val="16"/>
        </w:rPr>
        <w:t>paid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all</w:t>
      </w:r>
      <w:r>
        <w:rPr>
          <w:spacing w:val="-3"/>
          <w:sz w:val="16"/>
        </w:rPr>
        <w:t> </w:t>
      </w:r>
      <w:r>
        <w:rPr>
          <w:sz w:val="16"/>
        </w:rPr>
        <w:t>NEOs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discretionary</w:t>
      </w:r>
      <w:r>
        <w:rPr>
          <w:spacing w:val="-3"/>
          <w:sz w:val="16"/>
        </w:rPr>
        <w:t> </w:t>
      </w:r>
      <w:r>
        <w:rPr>
          <w:sz w:val="16"/>
        </w:rPr>
        <w:t>targets</w:t>
      </w:r>
      <w:r>
        <w:rPr>
          <w:spacing w:val="-3"/>
          <w:sz w:val="16"/>
        </w:rPr>
        <w:t> </w:t>
      </w:r>
      <w:r>
        <w:rPr>
          <w:sz w:val="16"/>
        </w:rPr>
        <w:t>was</w:t>
      </w:r>
      <w:r>
        <w:rPr>
          <w:spacing w:val="-3"/>
          <w:sz w:val="16"/>
        </w:rPr>
        <w:t> </w:t>
      </w:r>
      <w:r>
        <w:rPr>
          <w:sz w:val="16"/>
        </w:rPr>
        <w:t>approximately</w:t>
      </w:r>
      <w:r>
        <w:rPr>
          <w:spacing w:val="-3"/>
          <w:sz w:val="16"/>
        </w:rPr>
        <w:t> </w:t>
      </w:r>
      <w:r>
        <w:rPr>
          <w:sz w:val="16"/>
        </w:rPr>
        <w:t>$1.6</w:t>
      </w:r>
      <w:r>
        <w:rPr>
          <w:spacing w:val="-4"/>
          <w:sz w:val="16"/>
        </w:rPr>
        <w:t> </w:t>
      </w:r>
      <w:r>
        <w:rPr>
          <w:sz w:val="16"/>
        </w:rPr>
        <w:t>million.</w:t>
      </w:r>
    </w:p>
    <w:p>
      <w:pPr>
        <w:pStyle w:val="ListParagraph"/>
        <w:numPr>
          <w:ilvl w:val="0"/>
          <w:numId w:val="17"/>
        </w:numPr>
        <w:tabs>
          <w:tab w:pos="1150" w:val="left" w:leader="none"/>
        </w:tabs>
        <w:spacing w:line="240" w:lineRule="auto" w:before="108" w:after="0"/>
        <w:ind w:left="1150" w:right="0" w:hanging="360"/>
        <w:jc w:val="left"/>
        <w:rPr>
          <w:sz w:val="16"/>
        </w:rPr>
      </w:pPr>
      <w:r>
        <w:rPr>
          <w:sz w:val="16"/>
        </w:rPr>
        <w:t>Effective</w:t>
      </w:r>
      <w:r>
        <w:rPr>
          <w:spacing w:val="-6"/>
          <w:sz w:val="16"/>
        </w:rPr>
        <w:t> </w:t>
      </w:r>
      <w:r>
        <w:rPr>
          <w:sz w:val="16"/>
        </w:rPr>
        <w:t>March</w:t>
      </w:r>
      <w:r>
        <w:rPr>
          <w:spacing w:val="-5"/>
          <w:sz w:val="16"/>
        </w:rPr>
        <w:t> </w:t>
      </w:r>
      <w:r>
        <w:rPr>
          <w:sz w:val="16"/>
        </w:rPr>
        <w:t>31,</w:t>
      </w:r>
      <w:r>
        <w:rPr>
          <w:spacing w:val="-4"/>
          <w:sz w:val="16"/>
        </w:rPr>
        <w:t> </w:t>
      </w:r>
      <w:r>
        <w:rPr>
          <w:sz w:val="16"/>
        </w:rPr>
        <w:t>2022,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Maynard</w:t>
      </w:r>
      <w:r>
        <w:rPr>
          <w:spacing w:val="-5"/>
          <w:sz w:val="16"/>
        </w:rPr>
        <w:t> </w:t>
      </w:r>
      <w:r>
        <w:rPr>
          <w:sz w:val="16"/>
        </w:rPr>
        <w:t>will</w:t>
      </w:r>
      <w:r>
        <w:rPr>
          <w:spacing w:val="-5"/>
          <w:sz w:val="16"/>
        </w:rPr>
        <w:t> </w:t>
      </w:r>
      <w:r>
        <w:rPr>
          <w:sz w:val="16"/>
        </w:rPr>
        <w:t>retire</w:t>
      </w:r>
      <w:r>
        <w:rPr>
          <w:spacing w:val="-5"/>
          <w:sz w:val="16"/>
        </w:rPr>
        <w:t> </w:t>
      </w:r>
      <w:r>
        <w:rPr>
          <w:sz w:val="16"/>
        </w:rPr>
        <w:t>from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Company.</w:t>
      </w:r>
    </w:p>
    <w:p>
      <w:pPr>
        <w:pStyle w:val="BodyText"/>
        <w:rPr>
          <w:sz w:val="17"/>
        </w:rPr>
      </w:pPr>
    </w:p>
    <w:p>
      <w:pPr>
        <w:pStyle w:val="Heading3"/>
      </w:pPr>
      <w:r>
        <w:rPr>
          <w:color w:val="00539E"/>
        </w:rPr>
        <w:t>Equity-Based</w:t>
      </w:r>
      <w:r>
        <w:rPr>
          <w:color w:val="00539E"/>
          <w:spacing w:val="-7"/>
        </w:rPr>
        <w:t> </w:t>
      </w:r>
      <w:r>
        <w:rPr>
          <w:color w:val="00539E"/>
        </w:rPr>
        <w:t>Retention</w:t>
      </w:r>
      <w:r>
        <w:rPr>
          <w:color w:val="00539E"/>
          <w:spacing w:val="-7"/>
        </w:rPr>
        <w:t> </w:t>
      </w:r>
      <w:r>
        <w:rPr>
          <w:color w:val="00539E"/>
        </w:rPr>
        <w:t>and</w:t>
      </w:r>
      <w:r>
        <w:rPr>
          <w:color w:val="00539E"/>
          <w:spacing w:val="-6"/>
        </w:rPr>
        <w:t> </w:t>
      </w:r>
      <w:r>
        <w:rPr>
          <w:color w:val="00539E"/>
        </w:rPr>
        <w:t>Incentive</w:t>
      </w:r>
      <w:r>
        <w:rPr>
          <w:color w:val="00539E"/>
          <w:spacing w:val="-6"/>
        </w:rPr>
        <w:t> </w:t>
      </w:r>
      <w:r>
        <w:rPr>
          <w:color w:val="00539E"/>
        </w:rPr>
        <w:t>Compensation</w:t>
      </w:r>
      <w:r>
        <w:rPr>
          <w:color w:val="00539E"/>
          <w:spacing w:val="-6"/>
        </w:rPr>
        <w:t> </w:t>
      </w:r>
      <w:r>
        <w:rPr>
          <w:color w:val="00539E"/>
        </w:rPr>
        <w:t>(Equity</w:t>
      </w:r>
      <w:r>
        <w:rPr>
          <w:color w:val="00539E"/>
          <w:spacing w:val="-6"/>
        </w:rPr>
        <w:t> </w:t>
      </w:r>
      <w:r>
        <w:rPr>
          <w:color w:val="00539E"/>
        </w:rPr>
        <w:t>Compensation)</w:t>
      </w:r>
    </w:p>
    <w:p>
      <w:pPr>
        <w:pStyle w:val="BodyText"/>
        <w:spacing w:line="249" w:lineRule="auto" w:before="215"/>
        <w:ind w:left="250" w:right="282"/>
      </w:pPr>
      <w:r>
        <w:rPr/>
        <w:t>The Company has made Restricted Common Stock grants to provide long-term incentives for the NEOs, align</w:t>
      </w:r>
      <w:r>
        <w:rPr>
          <w:spacing w:val="1"/>
        </w:rPr>
        <w:t> </w:t>
      </w:r>
      <w:r>
        <w:rPr/>
        <w:t>interests with stockholders, and to retain qualified officers. The Company recognizes that the interests of</w:t>
      </w:r>
      <w:r>
        <w:rPr>
          <w:spacing w:val="1"/>
        </w:rPr>
        <w:t> </w:t>
      </w:r>
      <w:r>
        <w:rPr/>
        <w:t>stockholders</w:t>
      </w:r>
      <w:r>
        <w:rPr>
          <w:spacing w:val="-5"/>
        </w:rPr>
        <w:t> </w:t>
      </w:r>
      <w:r>
        <w:rPr/>
        <w:t>are</w:t>
      </w:r>
      <w:r>
        <w:rPr>
          <w:spacing w:val="-5"/>
        </w:rPr>
        <w:t> </w:t>
      </w:r>
      <w:r>
        <w:rPr/>
        <w:t>best</w:t>
      </w:r>
      <w:r>
        <w:rPr>
          <w:spacing w:val="-4"/>
        </w:rPr>
        <w:t> </w:t>
      </w:r>
      <w:r>
        <w:rPr/>
        <w:t>served</w:t>
      </w:r>
      <w:r>
        <w:rPr>
          <w:spacing w:val="-5"/>
        </w:rPr>
        <w:t> </w:t>
      </w:r>
      <w:r>
        <w:rPr/>
        <w:t>by</w:t>
      </w:r>
      <w:r>
        <w:rPr>
          <w:spacing w:val="-4"/>
        </w:rPr>
        <w:t> </w:t>
      </w:r>
      <w:r>
        <w:rPr/>
        <w:t>giving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NEOs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opportunity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participate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appreciation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Company’s</w:t>
      </w:r>
      <w:r>
        <w:rPr>
          <w:spacing w:val="1"/>
        </w:rPr>
        <w:t> </w:t>
      </w:r>
      <w:r>
        <w:rPr/>
        <w:t>Common</w:t>
      </w:r>
      <w:r>
        <w:rPr>
          <w:spacing w:val="-2"/>
        </w:rPr>
        <w:t> </w:t>
      </w:r>
      <w:r>
        <w:rPr/>
        <w:t>Stock.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/>
        <w:ind w:left="250" w:right="349"/>
      </w:pPr>
      <w:r>
        <w:rPr/>
        <w:t>On May 13, 2014, our stockholders approved the Company's 2014 Equity Incentive Plan.</w:t>
      </w:r>
      <w:r>
        <w:rPr>
          <w:spacing w:val="1"/>
        </w:rPr>
        <w:t> </w:t>
      </w:r>
      <w:r>
        <w:rPr/>
        <w:t>The Company has</w:t>
      </w:r>
      <w:r>
        <w:rPr>
          <w:spacing w:val="1"/>
        </w:rPr>
        <w:t> </w:t>
      </w:r>
      <w:r>
        <w:rPr/>
        <w:t>awarded Restricted Common Stock to our NEOs in accordance with and pursuant to the authority set forth in the</w:t>
      </w:r>
      <w:r>
        <w:rPr>
          <w:spacing w:val="1"/>
        </w:rPr>
        <w:t> </w:t>
      </w:r>
      <w:r>
        <w:rPr/>
        <w:t>2014 Equity Incentive Plan. The Restricted Common Stock awards have each been awarded at the closing price of</w:t>
      </w:r>
      <w:r>
        <w:rPr>
          <w:spacing w:val="-53"/>
        </w:rPr>
        <w:t> </w:t>
      </w:r>
      <w:r>
        <w:rPr/>
        <w:t>the Company’s Common Stock on the NYSE on the date of the award (the "Award Date Fair Value"). Upon vesting</w:t>
      </w:r>
      <w:r>
        <w:rPr>
          <w:spacing w:val="1"/>
        </w:rPr>
        <w:t> </w:t>
      </w:r>
      <w:r>
        <w:rPr/>
        <w:t>of these stock awards, at the NEOs option, the Company will buy back a portion of the stock to provide the NEO</w:t>
      </w:r>
      <w:r>
        <w:rPr>
          <w:spacing w:val="1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ability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receive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vested</w:t>
      </w:r>
      <w:r>
        <w:rPr>
          <w:spacing w:val="-1"/>
        </w:rPr>
        <w:t> </w:t>
      </w:r>
      <w:r>
        <w:rPr/>
        <w:t>stock,</w:t>
      </w:r>
      <w:r>
        <w:rPr>
          <w:spacing w:val="-2"/>
        </w:rPr>
        <w:t> </w:t>
      </w:r>
      <w:r>
        <w:rPr/>
        <w:t>net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applicable</w:t>
      </w:r>
      <w:r>
        <w:rPr>
          <w:spacing w:val="-1"/>
        </w:rPr>
        <w:t> </w:t>
      </w:r>
      <w:r>
        <w:rPr/>
        <w:t>tax</w:t>
      </w:r>
      <w:r>
        <w:rPr>
          <w:spacing w:val="-2"/>
        </w:rPr>
        <w:t> </w:t>
      </w:r>
      <w:r>
        <w:rPr/>
        <w:t>effects.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250" w:right="376"/>
      </w:pPr>
      <w:r>
        <w:rPr/>
        <w:t>To further align the interests of our NEOs with our stockholders by linking a larger portion of our NEOs'</w:t>
      </w:r>
      <w:r>
        <w:rPr>
          <w:spacing w:val="1"/>
        </w:rPr>
        <w:t> </w:t>
      </w:r>
      <w:r>
        <w:rPr/>
        <w:t>compensation to their performance and to create stronger retention incentives, in 2018 the Compensation</w:t>
      </w:r>
      <w:r>
        <w:rPr>
          <w:spacing w:val="1"/>
        </w:rPr>
        <w:t> </w:t>
      </w:r>
      <w:r>
        <w:rPr/>
        <w:t>Committee began the practice of awarding Restricted Common Stock to the NEOs on an annual basis with long-</w:t>
      </w:r>
      <w:r>
        <w:rPr>
          <w:spacing w:val="1"/>
        </w:rPr>
        <w:t> </w:t>
      </w:r>
      <w:r>
        <w:rPr/>
        <w:t>term vesting. These annual awards have vesting periods longer than one year and include a time-based vesting</w:t>
      </w:r>
      <w:r>
        <w:rPr>
          <w:spacing w:val="1"/>
        </w:rPr>
        <w:t> </w:t>
      </w:r>
      <w:r>
        <w:rPr/>
        <w:t>component, subject to satisfaction of continuous employment by the NEO through the end of the year prior to the</w:t>
      </w:r>
      <w:r>
        <w:rPr>
          <w:spacing w:val="1"/>
        </w:rPr>
        <w:t> </w:t>
      </w:r>
      <w:r>
        <w:rPr/>
        <w:t>vesting</w:t>
      </w:r>
      <w:r>
        <w:rPr>
          <w:spacing w:val="-6"/>
        </w:rPr>
        <w:t> </w:t>
      </w:r>
      <w:r>
        <w:rPr/>
        <w:t>date</w:t>
      </w:r>
      <w:r>
        <w:rPr>
          <w:spacing w:val="-5"/>
        </w:rPr>
        <w:t> </w:t>
      </w:r>
      <w:r>
        <w:rPr/>
        <w:t>(the</w:t>
      </w:r>
      <w:r>
        <w:rPr>
          <w:spacing w:val="-5"/>
        </w:rPr>
        <w:t> </w:t>
      </w:r>
      <w:r>
        <w:rPr/>
        <w:t>"Explicit</w:t>
      </w:r>
      <w:r>
        <w:rPr>
          <w:spacing w:val="-5"/>
        </w:rPr>
        <w:t> </w:t>
      </w:r>
      <w:r>
        <w:rPr/>
        <w:t>Service</w:t>
      </w:r>
      <w:r>
        <w:rPr>
          <w:spacing w:val="-5"/>
        </w:rPr>
        <w:t> </w:t>
      </w:r>
      <w:r>
        <w:rPr/>
        <w:t>Period")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performance-based</w:t>
      </w:r>
      <w:r>
        <w:rPr>
          <w:spacing w:val="-5"/>
        </w:rPr>
        <w:t> </w:t>
      </w:r>
      <w:r>
        <w:rPr/>
        <w:t>vesting</w:t>
      </w:r>
      <w:r>
        <w:rPr>
          <w:spacing w:val="-5"/>
        </w:rPr>
        <w:t> </w:t>
      </w:r>
      <w:r>
        <w:rPr/>
        <w:t>component,</w:t>
      </w:r>
      <w:r>
        <w:rPr>
          <w:spacing w:val="-5"/>
        </w:rPr>
        <w:t> </w:t>
      </w:r>
      <w:r>
        <w:rPr/>
        <w:t>subject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conditions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Explicit</w:t>
      </w:r>
      <w:r>
        <w:rPr>
          <w:spacing w:val="-2"/>
        </w:rPr>
        <w:t> </w:t>
      </w:r>
      <w:r>
        <w:rPr/>
        <w:t>Service</w:t>
      </w:r>
      <w:r>
        <w:rPr>
          <w:spacing w:val="-1"/>
        </w:rPr>
        <w:t> </w:t>
      </w:r>
      <w:r>
        <w:rPr/>
        <w:t>Period</w:t>
      </w:r>
      <w:r>
        <w:rPr>
          <w:spacing w:val="-2"/>
        </w:rPr>
        <w:t> </w:t>
      </w:r>
      <w:r>
        <w:rPr/>
        <w:t>requirements.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9" w:lineRule="auto"/>
        <w:ind w:left="250" w:right="320"/>
      </w:pPr>
      <w:r>
        <w:rPr>
          <w:spacing w:val="-1"/>
        </w:rPr>
        <w:t>Information regarding the </w:t>
      </w:r>
      <w:r>
        <w:rPr/>
        <w:t>annual awards of Restricted Stock for 2018, 2019, 2020 and 2021 (the "2018 Award", the</w:t>
      </w:r>
      <w:r>
        <w:rPr>
          <w:spacing w:val="1"/>
        </w:rPr>
        <w:t> </w:t>
      </w:r>
      <w:r>
        <w:rPr>
          <w:spacing w:val="-1"/>
        </w:rPr>
        <w:t>"2019 Award", the "2020 Award" and the "2021 Award"), respectively, and collectively, the "Restricted Stock </w:t>
      </w:r>
      <w:r>
        <w:rPr/>
        <w:t>Awards"</w:t>
      </w:r>
      <w:r>
        <w:rPr>
          <w:spacing w:val="-53"/>
        </w:rPr>
        <w:t> </w:t>
      </w:r>
      <w:r>
        <w:rPr/>
        <w:t>along with the status of achievement of the annual performance conditions as to which each of these awards are</w:t>
      </w:r>
      <w:r>
        <w:rPr>
          <w:spacing w:val="1"/>
        </w:rPr>
        <w:t> </w:t>
      </w:r>
      <w:r>
        <w:rPr>
          <w:spacing w:val="-1"/>
        </w:rPr>
        <w:t>subject, is set forth below. All </w:t>
      </w:r>
      <w:r>
        <w:rPr/>
        <w:t>Restricted Common Stock Awards were approved by the Compensation Committee</w:t>
      </w:r>
      <w:r>
        <w:rPr>
          <w:spacing w:val="1"/>
        </w:rPr>
        <w:t> </w:t>
      </w:r>
      <w:r>
        <w:rPr>
          <w:spacing w:val="-1"/>
        </w:rPr>
        <w:t>prior to the award date.</w:t>
      </w:r>
      <w:r>
        <w:rPr>
          <w:spacing w:val="53"/>
        </w:rPr>
        <w:t> </w:t>
      </w:r>
      <w:r>
        <w:rPr>
          <w:spacing w:val="-1"/>
        </w:rPr>
        <w:t>To ensure the Award Date Fair Value of the award of Restricted </w:t>
      </w:r>
      <w:r>
        <w:rPr/>
        <w:t>Common Stock for 2020</w:t>
      </w:r>
      <w:r>
        <w:rPr>
          <w:spacing w:val="1"/>
        </w:rPr>
        <w:t> </w:t>
      </w:r>
      <w:r>
        <w:rPr/>
        <w:t>and 2021 was aligned with 2019, the number of shares of Restricted Common Stock awarded in 2020 and 2021</w:t>
      </w:r>
      <w:r>
        <w:rPr>
          <w:spacing w:val="1"/>
        </w:rPr>
        <w:t> </w:t>
      </w:r>
      <w:r>
        <w:rPr/>
        <w:t>was determined by dividing the dollar value of the award by the closing price of the Company's Common Stock on</w:t>
      </w:r>
      <w:r>
        <w:rPr>
          <w:spacing w:val="1"/>
        </w:rPr>
        <w:t> </w:t>
      </w:r>
      <w:r>
        <w:rPr>
          <w:spacing w:val="-1"/>
        </w:rPr>
        <w:t>the award date.</w:t>
      </w:r>
      <w:r>
        <w:rPr/>
        <w:t> For each of the Restricted Stock Awards, vesting was subject to the NEO being employed through</w:t>
      </w:r>
      <w:r>
        <w:rPr>
          <w:spacing w:val="1"/>
        </w:rPr>
        <w:t> </w:t>
      </w:r>
      <w:r>
        <w:rPr/>
        <w:t>the Explicit Service Period and vesting of the performance-based portion of the awards was further subject to the</w:t>
      </w:r>
      <w:r>
        <w:rPr>
          <w:spacing w:val="1"/>
        </w:rPr>
        <w:t> </w:t>
      </w:r>
      <w:r>
        <w:rPr/>
        <w:t>satisfaction of performance conditions as further described in the "Performance Conditions" section of this CD&amp;A.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tables</w:t>
      </w:r>
      <w:r>
        <w:rPr>
          <w:spacing w:val="-2"/>
        </w:rPr>
        <w:t> </w:t>
      </w:r>
      <w:r>
        <w:rPr/>
        <w:t>provide</w:t>
      </w:r>
      <w:r>
        <w:rPr>
          <w:spacing w:val="-1"/>
        </w:rPr>
        <w:t> </w:t>
      </w:r>
      <w:r>
        <w:rPr/>
        <w:t>information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each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Restricted</w:t>
      </w:r>
      <w:r>
        <w:rPr>
          <w:spacing w:val="-2"/>
        </w:rPr>
        <w:t> </w:t>
      </w:r>
      <w:r>
        <w:rPr/>
        <w:t>Stock</w:t>
      </w:r>
      <w:r>
        <w:rPr>
          <w:spacing w:val="-12"/>
        </w:rPr>
        <w:t> </w:t>
      </w:r>
      <w:r>
        <w:rPr/>
        <w:t>Awards.</w:t>
      </w:r>
    </w:p>
    <w:p>
      <w:pPr>
        <w:pStyle w:val="BodyText"/>
        <w:spacing w:before="2"/>
        <w:rPr>
          <w:sz w:val="17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63"/>
        <w:gridCol w:w="2218"/>
        <w:gridCol w:w="2005"/>
        <w:gridCol w:w="2414"/>
      </w:tblGrid>
      <w:tr>
        <w:trPr>
          <w:trHeight w:val="851" w:hRule="atLeast"/>
        </w:trPr>
        <w:tc>
          <w:tcPr>
            <w:tcW w:w="3563" w:type="dxa"/>
            <w:tcBorders>
              <w:bottom w:val="single" w:sz="2" w:space="0" w:color="auto"/>
            </w:tcBorders>
          </w:tcPr>
          <w:p>
            <w:pPr>
              <w:pStyle w:val="TableParagraph"/>
              <w:spacing w:line="179" w:lineRule="exact" w:before="0"/>
              <w:ind w:left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2018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Approval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29,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2018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39"/>
                <w:sz w:val="16"/>
              </w:rPr>
              <w:t> </w:t>
            </w:r>
            <w:r>
              <w:rPr>
                <w:sz w:val="16"/>
              </w:rPr>
              <w:t>February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2018</w:t>
            </w:r>
          </w:p>
          <w:p>
            <w:pPr>
              <w:pStyle w:val="TableParagraph"/>
              <w:spacing w:line="161" w:lineRule="exact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Value: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sz w:val="16"/>
              </w:rPr>
              <w:t>$42.33</w:t>
            </w:r>
          </w:p>
        </w:tc>
        <w:tc>
          <w:tcPr>
            <w:tcW w:w="6637" w:type="dxa"/>
            <w:gridSpan w:val="3"/>
            <w:tcBorders>
              <w:bottom w:val="single" w:sz="2" w:space="0" w:color="auto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3563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18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2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Award</w:t>
            </w:r>
          </w:p>
        </w:tc>
        <w:tc>
          <w:tcPr>
            <w:tcW w:w="2005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96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Time-Based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(a)</w:t>
            </w:r>
          </w:p>
        </w:tc>
        <w:tc>
          <w:tcPr>
            <w:tcW w:w="2414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Performance-Based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(b)</w:t>
            </w:r>
          </w:p>
        </w:tc>
      </w:tr>
      <w:tr>
        <w:trPr>
          <w:trHeight w:val="205" w:hRule="atLeast"/>
        </w:trPr>
        <w:tc>
          <w:tcPr>
            <w:tcW w:w="3563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2218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67"/>
              <w:rPr>
                <w:sz w:val="16"/>
              </w:rPr>
            </w:pPr>
            <w:r>
              <w:rPr>
                <w:sz w:val="16"/>
              </w:rPr>
              <w:t>39,000</w:t>
            </w:r>
          </w:p>
        </w:tc>
        <w:tc>
          <w:tcPr>
            <w:tcW w:w="2005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12"/>
              <w:rPr>
                <w:sz w:val="16"/>
              </w:rPr>
            </w:pPr>
            <w:r>
              <w:rPr>
                <w:sz w:val="16"/>
              </w:rPr>
              <w:t>26,000</w:t>
            </w:r>
          </w:p>
        </w:tc>
        <w:tc>
          <w:tcPr>
            <w:tcW w:w="2414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6"/>
              <w:rPr>
                <w:sz w:val="16"/>
              </w:rPr>
            </w:pPr>
            <w:r>
              <w:rPr>
                <w:sz w:val="16"/>
              </w:rPr>
              <w:t>13,000</w:t>
            </w:r>
          </w:p>
        </w:tc>
      </w:tr>
      <w:tr>
        <w:trPr>
          <w:trHeight w:val="205" w:hRule="atLeast"/>
        </w:trPr>
        <w:tc>
          <w:tcPr>
            <w:tcW w:w="35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221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67"/>
              <w:rPr>
                <w:sz w:val="16"/>
              </w:rPr>
            </w:pPr>
            <w:r>
              <w:rPr>
                <w:sz w:val="16"/>
              </w:rPr>
              <w:t>32,000</w:t>
            </w:r>
          </w:p>
        </w:tc>
        <w:tc>
          <w:tcPr>
            <w:tcW w:w="20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12"/>
              <w:rPr>
                <w:sz w:val="16"/>
              </w:rPr>
            </w:pPr>
            <w:r>
              <w:rPr>
                <w:sz w:val="16"/>
              </w:rPr>
              <w:t>21,332</w:t>
            </w:r>
          </w:p>
        </w:tc>
        <w:tc>
          <w:tcPr>
            <w:tcW w:w="241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6"/>
              <w:rPr>
                <w:sz w:val="16"/>
              </w:rPr>
            </w:pPr>
            <w:r>
              <w:rPr>
                <w:sz w:val="16"/>
              </w:rPr>
              <w:t>10,668</w:t>
            </w:r>
          </w:p>
        </w:tc>
      </w:tr>
      <w:tr>
        <w:trPr>
          <w:trHeight w:val="205" w:hRule="atLeast"/>
        </w:trPr>
        <w:tc>
          <w:tcPr>
            <w:tcW w:w="35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221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67"/>
              <w:rPr>
                <w:sz w:val="16"/>
              </w:rPr>
            </w:pPr>
            <w:r>
              <w:rPr>
                <w:sz w:val="16"/>
              </w:rPr>
              <w:t>32,000</w:t>
            </w:r>
          </w:p>
        </w:tc>
        <w:tc>
          <w:tcPr>
            <w:tcW w:w="20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12"/>
              <w:rPr>
                <w:sz w:val="16"/>
              </w:rPr>
            </w:pPr>
            <w:r>
              <w:rPr>
                <w:sz w:val="16"/>
              </w:rPr>
              <w:t>21,332</w:t>
            </w:r>
          </w:p>
        </w:tc>
        <w:tc>
          <w:tcPr>
            <w:tcW w:w="241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6"/>
              <w:rPr>
                <w:sz w:val="16"/>
              </w:rPr>
            </w:pPr>
            <w:r>
              <w:rPr>
                <w:sz w:val="16"/>
              </w:rPr>
              <w:t>10,668</w:t>
            </w:r>
          </w:p>
        </w:tc>
      </w:tr>
      <w:tr>
        <w:trPr>
          <w:trHeight w:val="205" w:hRule="atLeast"/>
        </w:trPr>
        <w:tc>
          <w:tcPr>
            <w:tcW w:w="35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Maynard</w:t>
            </w:r>
          </w:p>
        </w:tc>
        <w:tc>
          <w:tcPr>
            <w:tcW w:w="221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67"/>
              <w:rPr>
                <w:sz w:val="16"/>
              </w:rPr>
            </w:pPr>
            <w:r>
              <w:rPr>
                <w:sz w:val="16"/>
              </w:rPr>
              <w:t>17,500</w:t>
            </w:r>
          </w:p>
        </w:tc>
        <w:tc>
          <w:tcPr>
            <w:tcW w:w="20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12"/>
              <w:rPr>
                <w:sz w:val="16"/>
              </w:rPr>
            </w:pPr>
            <w:r>
              <w:rPr>
                <w:sz w:val="16"/>
              </w:rPr>
              <w:t>11,666</w:t>
            </w:r>
          </w:p>
        </w:tc>
        <w:tc>
          <w:tcPr>
            <w:tcW w:w="241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6"/>
              <w:rPr>
                <w:sz w:val="16"/>
              </w:rPr>
            </w:pPr>
            <w:r>
              <w:rPr>
                <w:sz w:val="16"/>
              </w:rPr>
              <w:t>5,834</w:t>
            </w:r>
          </w:p>
        </w:tc>
      </w:tr>
      <w:tr>
        <w:trPr>
          <w:trHeight w:val="219" w:hRule="atLeast"/>
        </w:trPr>
        <w:tc>
          <w:tcPr>
            <w:tcW w:w="35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Eldersveld</w:t>
            </w:r>
          </w:p>
        </w:tc>
        <w:tc>
          <w:tcPr>
            <w:tcW w:w="221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267"/>
              <w:rPr>
                <w:sz w:val="16"/>
              </w:rPr>
            </w:pPr>
            <w:r>
              <w:rPr>
                <w:sz w:val="16"/>
              </w:rPr>
              <w:t>13,000</w:t>
            </w:r>
          </w:p>
        </w:tc>
        <w:tc>
          <w:tcPr>
            <w:tcW w:w="200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112"/>
              <w:rPr>
                <w:sz w:val="16"/>
              </w:rPr>
            </w:pPr>
            <w:r>
              <w:rPr>
                <w:sz w:val="16"/>
              </w:rPr>
              <w:t>8,664</w:t>
            </w:r>
          </w:p>
        </w:tc>
        <w:tc>
          <w:tcPr>
            <w:tcW w:w="241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66"/>
              <w:rPr>
                <w:sz w:val="16"/>
              </w:rPr>
            </w:pPr>
            <w:r>
              <w:rPr>
                <w:sz w:val="16"/>
              </w:rPr>
              <w:t>4,336</w:t>
            </w:r>
          </w:p>
        </w:tc>
      </w:tr>
    </w:tbl>
    <w:p>
      <w:pPr>
        <w:spacing w:line="172" w:lineRule="exact" w:before="72"/>
        <w:ind w:left="302" w:right="0" w:firstLine="0"/>
        <w:jc w:val="left"/>
        <w:rPr>
          <w:sz w:val="16"/>
        </w:rPr>
      </w:pPr>
      <w:r>
        <w:rPr>
          <w:sz w:val="16"/>
          <w:vertAlign w:val="superscript"/>
        </w:rPr>
        <w:t>(a)</w:t>
      </w:r>
      <w:r>
        <w:rPr>
          <w:spacing w:val="25"/>
          <w:sz w:val="16"/>
          <w:vertAlign w:val="baseline"/>
        </w:rPr>
        <w:t> </w:t>
      </w:r>
      <w:r>
        <w:rPr>
          <w:sz w:val="16"/>
          <w:vertAlign w:val="baseline"/>
        </w:rPr>
        <w:t>50%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December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28,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2018,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25%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31,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2020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25%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29,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2021.</w:t>
      </w:r>
    </w:p>
    <w:p>
      <w:pPr>
        <w:spacing w:line="208" w:lineRule="auto" w:before="8"/>
        <w:ind w:left="302" w:right="0" w:firstLine="0"/>
        <w:jc w:val="left"/>
        <w:rPr>
          <w:sz w:val="16"/>
        </w:rPr>
      </w:pPr>
      <w:r>
        <w:rPr/>
        <w:pict>
          <v:group style="position:absolute;margin-left:49.5pt;margin-top:17.608391pt;width:510pt;height:1pt;mso-position-horizontal-relative:page;mso-position-vertical-relative:paragraph;z-index:-15692288;mso-wrap-distance-left:0;mso-wrap-distance-right:0" id="docshapegroup98" coordorigin="990,352" coordsize="10200,20">
            <v:shape style="position:absolute;left:990;top:362;width:10200;height:2" id="docshape99" coordorigin="990,362" coordsize="10200,0" path="m11190,362l990,362e" filled="true" fillcolor="#000000" stroked="false">
              <v:path arrowok="t"/>
              <v:fill opacity="0f" type="solid"/>
            </v:shape>
            <v:line style="position:absolute" from="990,362" to="11190,362" stroked="true" strokeweight="1pt" strokecolor="#00539e">
              <v:stroke dashstyle="solid"/>
            </v:line>
            <w10:wrap type="topAndBottom"/>
          </v:group>
        </w:pict>
      </w:r>
      <w:r>
        <w:rPr>
          <w:sz w:val="16"/>
          <w:vertAlign w:val="superscript"/>
        </w:rPr>
        <w:t>(b)</w:t>
      </w:r>
      <w:r>
        <w:rPr>
          <w:sz w:val="16"/>
          <w:vertAlign w:val="baseline"/>
        </w:rPr>
        <w:t> 50% vested on January 31, 2020 and a portion of the remaining 50% scheduled to vest on January 29, 2021 vested, in each case based on</w:t>
      </w:r>
      <w:r>
        <w:rPr>
          <w:spacing w:val="-42"/>
          <w:sz w:val="16"/>
          <w:vertAlign w:val="baseline"/>
        </w:rPr>
        <w:t> </w:t>
      </w:r>
      <w:r>
        <w:rPr>
          <w:sz w:val="16"/>
          <w:vertAlign w:val="baseline"/>
        </w:rPr>
        <w:t>satisfaction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of performance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conditions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as further discussed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below.</w:t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5"/>
        <w:gridCol w:w="2210"/>
        <w:gridCol w:w="1952"/>
        <w:gridCol w:w="2451"/>
      </w:tblGrid>
      <w:tr>
        <w:trPr>
          <w:trHeight w:val="851" w:hRule="atLeast"/>
        </w:trPr>
        <w:tc>
          <w:tcPr>
            <w:tcW w:w="3585" w:type="dxa"/>
            <w:tcBorders>
              <w:bottom w:val="single" w:sz="2" w:space="0" w:color="auto"/>
            </w:tcBorders>
          </w:tcPr>
          <w:p>
            <w:pPr>
              <w:pStyle w:val="TableParagraph"/>
              <w:spacing w:line="179" w:lineRule="exact" w:before="0"/>
              <w:ind w:left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2019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Approval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sz w:val="16"/>
              </w:rPr>
              <w:t>January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23,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2019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39"/>
                <w:sz w:val="16"/>
              </w:rPr>
              <w:t> </w:t>
            </w:r>
            <w:r>
              <w:rPr>
                <w:sz w:val="16"/>
              </w:rPr>
              <w:t>February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1,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2019</w:t>
            </w:r>
          </w:p>
          <w:p>
            <w:pPr>
              <w:pStyle w:val="TableParagraph"/>
              <w:spacing w:line="161" w:lineRule="exact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Value: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sz w:val="16"/>
              </w:rPr>
              <w:t>$52.84</w:t>
            </w:r>
          </w:p>
        </w:tc>
        <w:tc>
          <w:tcPr>
            <w:tcW w:w="6613" w:type="dxa"/>
            <w:gridSpan w:val="3"/>
            <w:tcBorders>
              <w:bottom w:val="single" w:sz="2" w:space="0" w:color="auto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3585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10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21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Award</w:t>
            </w:r>
          </w:p>
        </w:tc>
        <w:tc>
          <w:tcPr>
            <w:tcW w:w="1952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7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Time-Based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(a)</w:t>
            </w:r>
          </w:p>
        </w:tc>
        <w:tc>
          <w:tcPr>
            <w:tcW w:w="2451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10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Performance-Based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(b)</w:t>
            </w:r>
          </w:p>
        </w:tc>
      </w:tr>
      <w:tr>
        <w:trPr>
          <w:trHeight w:val="205" w:hRule="atLeast"/>
        </w:trPr>
        <w:tc>
          <w:tcPr>
            <w:tcW w:w="3585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2210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36"/>
              <w:rPr>
                <w:sz w:val="16"/>
              </w:rPr>
            </w:pPr>
            <w:r>
              <w:rPr>
                <w:sz w:val="16"/>
              </w:rPr>
              <w:t>33,000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88"/>
              <w:rPr>
                <w:sz w:val="16"/>
              </w:rPr>
            </w:pPr>
            <w:r>
              <w:rPr>
                <w:sz w:val="16"/>
              </w:rPr>
              <w:t>16,500</w:t>
            </w:r>
          </w:p>
        </w:tc>
        <w:tc>
          <w:tcPr>
            <w:tcW w:w="2451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23"/>
              <w:rPr>
                <w:sz w:val="16"/>
              </w:rPr>
            </w:pPr>
            <w:r>
              <w:rPr>
                <w:sz w:val="16"/>
              </w:rPr>
              <w:t>16,500</w:t>
            </w:r>
          </w:p>
        </w:tc>
      </w:tr>
      <w:tr>
        <w:trPr>
          <w:trHeight w:val="205" w:hRule="atLeast"/>
        </w:trPr>
        <w:tc>
          <w:tcPr>
            <w:tcW w:w="358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22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36"/>
              <w:rPr>
                <w:sz w:val="16"/>
              </w:rPr>
            </w:pPr>
            <w:r>
              <w:rPr>
                <w:sz w:val="16"/>
              </w:rPr>
              <w:t>27,200</w:t>
            </w:r>
          </w:p>
        </w:tc>
        <w:tc>
          <w:tcPr>
            <w:tcW w:w="195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88"/>
              <w:rPr>
                <w:sz w:val="16"/>
              </w:rPr>
            </w:pPr>
            <w:r>
              <w:rPr>
                <w:sz w:val="16"/>
              </w:rPr>
              <w:t>13,598</w:t>
            </w:r>
          </w:p>
        </w:tc>
        <w:tc>
          <w:tcPr>
            <w:tcW w:w="245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23"/>
              <w:rPr>
                <w:sz w:val="16"/>
              </w:rPr>
            </w:pPr>
            <w:r>
              <w:rPr>
                <w:sz w:val="16"/>
              </w:rPr>
              <w:t>13,602</w:t>
            </w:r>
          </w:p>
        </w:tc>
      </w:tr>
      <w:tr>
        <w:trPr>
          <w:trHeight w:val="205" w:hRule="atLeast"/>
        </w:trPr>
        <w:tc>
          <w:tcPr>
            <w:tcW w:w="358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22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36"/>
              <w:rPr>
                <w:sz w:val="16"/>
              </w:rPr>
            </w:pPr>
            <w:r>
              <w:rPr>
                <w:sz w:val="16"/>
              </w:rPr>
              <w:t>27,200</w:t>
            </w:r>
          </w:p>
        </w:tc>
        <w:tc>
          <w:tcPr>
            <w:tcW w:w="195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88"/>
              <w:rPr>
                <w:sz w:val="16"/>
              </w:rPr>
            </w:pPr>
            <w:r>
              <w:rPr>
                <w:sz w:val="16"/>
              </w:rPr>
              <w:t>13,598</w:t>
            </w:r>
          </w:p>
        </w:tc>
        <w:tc>
          <w:tcPr>
            <w:tcW w:w="245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23"/>
              <w:rPr>
                <w:sz w:val="16"/>
              </w:rPr>
            </w:pPr>
            <w:r>
              <w:rPr>
                <w:sz w:val="16"/>
              </w:rPr>
              <w:t>13,602</w:t>
            </w:r>
          </w:p>
        </w:tc>
      </w:tr>
      <w:tr>
        <w:trPr>
          <w:trHeight w:val="204" w:hRule="atLeast"/>
        </w:trPr>
        <w:tc>
          <w:tcPr>
            <w:tcW w:w="358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Maynard</w:t>
            </w:r>
          </w:p>
        </w:tc>
        <w:tc>
          <w:tcPr>
            <w:tcW w:w="22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36"/>
              <w:rPr>
                <w:sz w:val="16"/>
              </w:rPr>
            </w:pPr>
            <w:r>
              <w:rPr>
                <w:sz w:val="16"/>
              </w:rPr>
              <w:t>15,000</w:t>
            </w:r>
          </w:p>
        </w:tc>
        <w:tc>
          <w:tcPr>
            <w:tcW w:w="195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88"/>
              <w:rPr>
                <w:sz w:val="16"/>
              </w:rPr>
            </w:pPr>
            <w:r>
              <w:rPr>
                <w:sz w:val="16"/>
              </w:rPr>
              <w:t>7,500</w:t>
            </w:r>
          </w:p>
        </w:tc>
        <w:tc>
          <w:tcPr>
            <w:tcW w:w="245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23"/>
              <w:rPr>
                <w:sz w:val="16"/>
              </w:rPr>
            </w:pPr>
            <w:r>
              <w:rPr>
                <w:sz w:val="16"/>
              </w:rPr>
              <w:t>7,500</w:t>
            </w:r>
          </w:p>
        </w:tc>
      </w:tr>
      <w:tr>
        <w:trPr>
          <w:trHeight w:val="219" w:hRule="atLeast"/>
        </w:trPr>
        <w:tc>
          <w:tcPr>
            <w:tcW w:w="358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Eldersveld</w:t>
            </w:r>
          </w:p>
        </w:tc>
        <w:tc>
          <w:tcPr>
            <w:tcW w:w="22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236"/>
              <w:rPr>
                <w:sz w:val="16"/>
              </w:rPr>
            </w:pPr>
            <w:r>
              <w:rPr>
                <w:sz w:val="16"/>
              </w:rPr>
              <w:t>14,000</w:t>
            </w:r>
          </w:p>
        </w:tc>
        <w:tc>
          <w:tcPr>
            <w:tcW w:w="195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88"/>
              <w:rPr>
                <w:sz w:val="16"/>
              </w:rPr>
            </w:pPr>
            <w:r>
              <w:rPr>
                <w:sz w:val="16"/>
              </w:rPr>
              <w:t>6,998</w:t>
            </w:r>
          </w:p>
        </w:tc>
        <w:tc>
          <w:tcPr>
            <w:tcW w:w="245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123"/>
              <w:rPr>
                <w:sz w:val="16"/>
              </w:rPr>
            </w:pPr>
            <w:r>
              <w:rPr>
                <w:sz w:val="16"/>
              </w:rPr>
              <w:t>7,002</w:t>
            </w:r>
          </w:p>
        </w:tc>
      </w:tr>
    </w:tbl>
    <w:p>
      <w:pPr>
        <w:spacing w:line="172" w:lineRule="exact" w:before="73"/>
        <w:ind w:left="302" w:right="0" w:firstLine="0"/>
        <w:jc w:val="left"/>
        <w:rPr>
          <w:sz w:val="16"/>
        </w:rPr>
      </w:pPr>
      <w:r>
        <w:rPr>
          <w:sz w:val="16"/>
          <w:vertAlign w:val="superscript"/>
        </w:rPr>
        <w:t>(a)</w:t>
      </w:r>
      <w:r>
        <w:rPr>
          <w:spacing w:val="24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31,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2020,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29,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2021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31,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2022.</w:t>
      </w:r>
    </w:p>
    <w:p>
      <w:pPr>
        <w:spacing w:line="208" w:lineRule="auto" w:before="8"/>
        <w:ind w:left="302" w:right="713" w:firstLine="0"/>
        <w:jc w:val="left"/>
        <w:rPr>
          <w:sz w:val="16"/>
        </w:rPr>
      </w:pPr>
      <w:r>
        <w:rPr/>
        <w:pict>
          <v:group style="position:absolute;margin-left:49.5pt;margin-top:17.608391pt;width:507pt;height:1pt;mso-position-horizontal-relative:page;mso-position-vertical-relative:paragraph;z-index:-15691776;mso-wrap-distance-left:0;mso-wrap-distance-right:0" id="docshapegroup100" coordorigin="990,352" coordsize="10140,20">
            <v:shape style="position:absolute;left:990;top:362;width:10140;height:2" id="docshape101" coordorigin="990,362" coordsize="10140,0" path="m11130,362l990,362e" filled="true" fillcolor="#000000" stroked="false">
              <v:path arrowok="t"/>
              <v:fill opacity="0f" type="solid"/>
            </v:shape>
            <v:line style="position:absolute" from="990,362" to="11130,362" stroked="true" strokeweight="1pt" strokecolor="#00539e">
              <v:stroke dashstyle="solid"/>
            </v:line>
            <w10:wrap type="topAndBottom"/>
          </v:group>
        </w:pict>
      </w:r>
      <w:r>
        <w:rPr>
          <w:sz w:val="16"/>
          <w:vertAlign w:val="superscript"/>
        </w:rPr>
        <w:t>(b)</w:t>
      </w:r>
      <w:r>
        <w:rPr>
          <w:sz w:val="16"/>
          <w:vertAlign w:val="baseline"/>
        </w:rPr>
        <w:t> One-third vested on January 31, 2020, a portion of the one-third scheduled to vest on January 29, 2021 vested, and one-third vested on</w:t>
      </w:r>
      <w:r>
        <w:rPr>
          <w:spacing w:val="-42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31,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2022,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subject 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satisfaction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performance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conditions as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further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discussed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below.</w:t>
      </w:r>
    </w:p>
    <w:p>
      <w:pPr>
        <w:spacing w:after="0" w:line="208" w:lineRule="auto"/>
        <w:jc w:val="left"/>
        <w:rPr>
          <w:sz w:val="16"/>
        </w:rPr>
        <w:sectPr>
          <w:pgSz w:w="12240" w:h="15840"/>
          <w:pgMar w:header="0" w:footer="517" w:top="740" w:bottom="780" w:left="740" w:right="700"/>
        </w:sect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6"/>
        <w:gridCol w:w="2197"/>
        <w:gridCol w:w="1997"/>
        <w:gridCol w:w="2444"/>
      </w:tblGrid>
      <w:tr>
        <w:trPr>
          <w:trHeight w:val="851" w:hRule="atLeast"/>
        </w:trPr>
        <w:tc>
          <w:tcPr>
            <w:tcW w:w="3606" w:type="dxa"/>
            <w:tcBorders>
              <w:bottom w:val="single" w:sz="2" w:space="0" w:color="auto"/>
            </w:tcBorders>
          </w:tcPr>
          <w:p>
            <w:pPr>
              <w:pStyle w:val="TableParagraph"/>
              <w:spacing w:line="179" w:lineRule="exact" w:before="0"/>
              <w:ind w:left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2020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Approval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sz w:val="16"/>
              </w:rPr>
              <w:t>February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10,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2020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7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33"/>
                <w:sz w:val="16"/>
              </w:rPr>
              <w:t> </w:t>
            </w:r>
            <w:r>
              <w:rPr>
                <w:sz w:val="16"/>
              </w:rPr>
              <w:t>February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11,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2020</w:t>
            </w:r>
          </w:p>
          <w:p>
            <w:pPr>
              <w:pStyle w:val="TableParagraph"/>
              <w:spacing w:line="161" w:lineRule="exact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Value:</w:t>
            </w:r>
            <w:r>
              <w:rPr>
                <w:b/>
                <w:spacing w:val="37"/>
                <w:sz w:val="16"/>
              </w:rPr>
              <w:t> </w:t>
            </w:r>
            <w:r>
              <w:rPr>
                <w:sz w:val="16"/>
              </w:rPr>
              <w:t>$73.46</w:t>
            </w:r>
          </w:p>
        </w:tc>
        <w:tc>
          <w:tcPr>
            <w:tcW w:w="2197" w:type="dxa"/>
            <w:tcBorders>
              <w:bottom w:val="single" w:sz="2" w:space="0" w:color="auto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997" w:type="dxa"/>
            <w:tcBorders>
              <w:bottom w:val="single" w:sz="2" w:space="0" w:color="auto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444" w:type="dxa"/>
            <w:tcBorders>
              <w:bottom w:val="single" w:sz="2" w:space="0" w:color="auto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3606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197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Award</w:t>
            </w:r>
          </w:p>
        </w:tc>
        <w:tc>
          <w:tcPr>
            <w:tcW w:w="1997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12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Time-Based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(a)</w:t>
            </w:r>
          </w:p>
        </w:tc>
        <w:tc>
          <w:tcPr>
            <w:tcW w:w="2444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4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Performance-Based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(b)</w:t>
            </w:r>
          </w:p>
        </w:tc>
      </w:tr>
      <w:tr>
        <w:trPr>
          <w:trHeight w:val="205" w:hRule="atLeast"/>
        </w:trPr>
        <w:tc>
          <w:tcPr>
            <w:tcW w:w="3606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2197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29"/>
              <w:rPr>
                <w:sz w:val="16"/>
              </w:rPr>
            </w:pPr>
            <w:r>
              <w:rPr>
                <w:sz w:val="16"/>
              </w:rPr>
              <w:t>24,758</w:t>
            </w:r>
          </w:p>
        </w:tc>
        <w:tc>
          <w:tcPr>
            <w:tcW w:w="1997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41"/>
              <w:rPr>
                <w:sz w:val="16"/>
              </w:rPr>
            </w:pPr>
            <w:r>
              <w:rPr>
                <w:sz w:val="16"/>
              </w:rPr>
              <w:t>12,379</w:t>
            </w:r>
          </w:p>
        </w:tc>
        <w:tc>
          <w:tcPr>
            <w:tcW w:w="2444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5"/>
              <w:rPr>
                <w:sz w:val="16"/>
              </w:rPr>
            </w:pPr>
            <w:r>
              <w:rPr>
                <w:sz w:val="16"/>
              </w:rPr>
              <w:t>12,379</w:t>
            </w:r>
          </w:p>
        </w:tc>
      </w:tr>
      <w:tr>
        <w:trPr>
          <w:trHeight w:val="205" w:hRule="atLeast"/>
        </w:trPr>
        <w:tc>
          <w:tcPr>
            <w:tcW w:w="360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219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29"/>
              <w:rPr>
                <w:sz w:val="16"/>
              </w:rPr>
            </w:pPr>
            <w:r>
              <w:rPr>
                <w:sz w:val="16"/>
              </w:rPr>
              <w:t>19,563</w:t>
            </w:r>
          </w:p>
        </w:tc>
        <w:tc>
          <w:tcPr>
            <w:tcW w:w="199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41"/>
              <w:rPr>
                <w:sz w:val="16"/>
              </w:rPr>
            </w:pPr>
            <w:r>
              <w:rPr>
                <w:sz w:val="16"/>
              </w:rPr>
              <w:t>9,781</w:t>
            </w:r>
          </w:p>
        </w:tc>
        <w:tc>
          <w:tcPr>
            <w:tcW w:w="244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5"/>
              <w:rPr>
                <w:sz w:val="16"/>
              </w:rPr>
            </w:pPr>
            <w:r>
              <w:rPr>
                <w:sz w:val="16"/>
              </w:rPr>
              <w:t>9,782</w:t>
            </w:r>
          </w:p>
        </w:tc>
      </w:tr>
      <w:tr>
        <w:trPr>
          <w:trHeight w:val="205" w:hRule="atLeast"/>
        </w:trPr>
        <w:tc>
          <w:tcPr>
            <w:tcW w:w="360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219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29"/>
              <w:rPr>
                <w:sz w:val="16"/>
              </w:rPr>
            </w:pPr>
            <w:r>
              <w:rPr>
                <w:sz w:val="16"/>
              </w:rPr>
              <w:t>19,563</w:t>
            </w:r>
          </w:p>
        </w:tc>
        <w:tc>
          <w:tcPr>
            <w:tcW w:w="199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41"/>
              <w:rPr>
                <w:sz w:val="16"/>
              </w:rPr>
            </w:pPr>
            <w:r>
              <w:rPr>
                <w:sz w:val="16"/>
              </w:rPr>
              <w:t>9,781</w:t>
            </w:r>
          </w:p>
        </w:tc>
        <w:tc>
          <w:tcPr>
            <w:tcW w:w="244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5"/>
              <w:rPr>
                <w:sz w:val="16"/>
              </w:rPr>
            </w:pPr>
            <w:r>
              <w:rPr>
                <w:sz w:val="16"/>
              </w:rPr>
              <w:t>9,782</w:t>
            </w:r>
          </w:p>
        </w:tc>
      </w:tr>
      <w:tr>
        <w:trPr>
          <w:trHeight w:val="205" w:hRule="atLeast"/>
        </w:trPr>
        <w:tc>
          <w:tcPr>
            <w:tcW w:w="360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Maynard</w:t>
            </w:r>
          </w:p>
        </w:tc>
        <w:tc>
          <w:tcPr>
            <w:tcW w:w="219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29"/>
              <w:rPr>
                <w:sz w:val="16"/>
              </w:rPr>
            </w:pPr>
            <w:r>
              <w:rPr>
                <w:sz w:val="16"/>
              </w:rPr>
              <w:t>10,789</w:t>
            </w:r>
          </w:p>
        </w:tc>
        <w:tc>
          <w:tcPr>
            <w:tcW w:w="199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41"/>
              <w:rPr>
                <w:sz w:val="16"/>
              </w:rPr>
            </w:pPr>
            <w:r>
              <w:rPr>
                <w:sz w:val="16"/>
              </w:rPr>
              <w:t>5,394</w:t>
            </w:r>
          </w:p>
        </w:tc>
        <w:tc>
          <w:tcPr>
            <w:tcW w:w="244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5"/>
              <w:rPr>
                <w:sz w:val="16"/>
              </w:rPr>
            </w:pPr>
            <w:r>
              <w:rPr>
                <w:sz w:val="16"/>
              </w:rPr>
              <w:t>5,395</w:t>
            </w:r>
          </w:p>
        </w:tc>
      </w:tr>
      <w:tr>
        <w:trPr>
          <w:trHeight w:val="219" w:hRule="atLeast"/>
        </w:trPr>
        <w:tc>
          <w:tcPr>
            <w:tcW w:w="360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Eldersveld</w:t>
            </w:r>
          </w:p>
        </w:tc>
        <w:tc>
          <w:tcPr>
            <w:tcW w:w="219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229"/>
              <w:rPr>
                <w:sz w:val="16"/>
              </w:rPr>
            </w:pPr>
            <w:r>
              <w:rPr>
                <w:sz w:val="16"/>
              </w:rPr>
              <w:t>11,945</w:t>
            </w:r>
          </w:p>
        </w:tc>
        <w:tc>
          <w:tcPr>
            <w:tcW w:w="199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141"/>
              <w:rPr>
                <w:sz w:val="16"/>
              </w:rPr>
            </w:pPr>
            <w:r>
              <w:rPr>
                <w:sz w:val="16"/>
              </w:rPr>
              <w:t>5,972</w:t>
            </w:r>
          </w:p>
        </w:tc>
        <w:tc>
          <w:tcPr>
            <w:tcW w:w="244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65"/>
              <w:rPr>
                <w:sz w:val="16"/>
              </w:rPr>
            </w:pPr>
            <w:r>
              <w:rPr>
                <w:sz w:val="16"/>
              </w:rPr>
              <w:t>5,973</w:t>
            </w:r>
          </w:p>
        </w:tc>
      </w:tr>
    </w:tbl>
    <w:p>
      <w:pPr>
        <w:spacing w:line="172" w:lineRule="exact" w:before="72"/>
        <w:ind w:left="302" w:right="0" w:firstLine="0"/>
        <w:jc w:val="left"/>
        <w:rPr>
          <w:sz w:val="16"/>
        </w:rPr>
      </w:pPr>
      <w:r>
        <w:rPr>
          <w:sz w:val="16"/>
          <w:vertAlign w:val="superscript"/>
        </w:rPr>
        <w:t>(a)</w:t>
      </w:r>
      <w:r>
        <w:rPr>
          <w:spacing w:val="24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29,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2021,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31,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2022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27,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2023.</w:t>
      </w:r>
    </w:p>
    <w:p>
      <w:pPr>
        <w:spacing w:line="208" w:lineRule="auto" w:before="8"/>
        <w:ind w:left="302" w:right="608" w:firstLine="0"/>
        <w:jc w:val="left"/>
        <w:rPr>
          <w:sz w:val="16"/>
        </w:rPr>
      </w:pPr>
      <w:r>
        <w:rPr/>
        <w:pict>
          <v:group style="position:absolute;margin-left:49.5pt;margin-top:17.608391pt;width:512.25pt;height:1pt;mso-position-horizontal-relative:page;mso-position-vertical-relative:paragraph;z-index:-15691264;mso-wrap-distance-left:0;mso-wrap-distance-right:0" id="docshapegroup102" coordorigin="990,352" coordsize="10245,20">
            <v:shape style="position:absolute;left:990;top:362;width:10245;height:2" id="docshape103" coordorigin="990,362" coordsize="10245,0" path="m11235,362l990,362e" filled="true" fillcolor="#000000" stroked="false">
              <v:path arrowok="t"/>
              <v:fill opacity="0f" type="solid"/>
            </v:shape>
            <v:line style="position:absolute" from="990,362" to="11235,362" stroked="true" strokeweight="1pt" strokecolor="#00539e">
              <v:stroke dashstyle="solid"/>
            </v:line>
            <w10:wrap type="topAndBottom"/>
          </v:group>
        </w:pict>
      </w:r>
      <w:r>
        <w:rPr>
          <w:sz w:val="16"/>
          <w:vertAlign w:val="superscript"/>
        </w:rPr>
        <w:t>(b)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A</w:t>
      </w:r>
      <w:r>
        <w:rPr>
          <w:spacing w:val="-11"/>
          <w:sz w:val="16"/>
          <w:vertAlign w:val="baseline"/>
        </w:rPr>
        <w:t> </w:t>
      </w:r>
      <w:r>
        <w:rPr>
          <w:sz w:val="16"/>
          <w:vertAlign w:val="baseline"/>
        </w:rPr>
        <w:t>portion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the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scheduled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to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29,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2021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vested,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31,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2022,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1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27,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2023,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subject to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satisfaction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performance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conditions as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further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discussed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below.</w:t>
      </w:r>
    </w:p>
    <w:p>
      <w:pPr>
        <w:pStyle w:val="BodyText"/>
      </w:pPr>
    </w:p>
    <w:p>
      <w:pPr>
        <w:pStyle w:val="BodyText"/>
        <w:spacing w:before="5"/>
        <w:rPr>
          <w:sz w:val="21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06"/>
        <w:gridCol w:w="2242"/>
        <w:gridCol w:w="1930"/>
        <w:gridCol w:w="2467"/>
      </w:tblGrid>
      <w:tr>
        <w:trPr>
          <w:trHeight w:val="851" w:hRule="atLeast"/>
        </w:trPr>
        <w:tc>
          <w:tcPr>
            <w:tcW w:w="3606" w:type="dxa"/>
            <w:tcBorders>
              <w:bottom w:val="single" w:sz="2" w:space="0" w:color="auto"/>
            </w:tcBorders>
          </w:tcPr>
          <w:p>
            <w:pPr>
              <w:pStyle w:val="TableParagraph"/>
              <w:spacing w:line="179" w:lineRule="exact" w:before="0"/>
              <w:ind w:left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Approval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sz w:val="16"/>
              </w:rPr>
              <w:t>February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39"/>
                <w:sz w:val="16"/>
              </w:rPr>
              <w:t> </w:t>
            </w:r>
            <w:r>
              <w:rPr>
                <w:sz w:val="16"/>
              </w:rPr>
              <w:t>February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9,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2021</w:t>
            </w:r>
          </w:p>
          <w:p>
            <w:pPr>
              <w:pStyle w:val="TableParagraph"/>
              <w:spacing w:line="161" w:lineRule="exact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Value: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sz w:val="16"/>
              </w:rPr>
              <w:t>$63.78</w:t>
            </w:r>
          </w:p>
        </w:tc>
        <w:tc>
          <w:tcPr>
            <w:tcW w:w="6639" w:type="dxa"/>
            <w:gridSpan w:val="3"/>
            <w:tcBorders>
              <w:bottom w:val="single" w:sz="2" w:space="0" w:color="auto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3606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42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212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Award</w:t>
            </w:r>
          </w:p>
        </w:tc>
        <w:tc>
          <w:tcPr>
            <w:tcW w:w="1930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58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Time-Based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(a)</w:t>
            </w:r>
          </w:p>
        </w:tc>
        <w:tc>
          <w:tcPr>
            <w:tcW w:w="2467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right="14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Performance-Based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(b)</w:t>
            </w:r>
          </w:p>
        </w:tc>
      </w:tr>
      <w:tr>
        <w:trPr>
          <w:trHeight w:val="205" w:hRule="atLeast"/>
        </w:trPr>
        <w:tc>
          <w:tcPr>
            <w:tcW w:w="3606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2242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29"/>
              <w:rPr>
                <w:sz w:val="16"/>
              </w:rPr>
            </w:pPr>
            <w:r>
              <w:rPr>
                <w:sz w:val="16"/>
              </w:rPr>
              <w:t>28,516</w:t>
            </w:r>
          </w:p>
        </w:tc>
        <w:tc>
          <w:tcPr>
            <w:tcW w:w="1930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74"/>
              <w:rPr>
                <w:sz w:val="16"/>
              </w:rPr>
            </w:pPr>
            <w:r>
              <w:rPr>
                <w:sz w:val="16"/>
              </w:rPr>
              <w:t>14,258</w:t>
            </w:r>
          </w:p>
        </w:tc>
        <w:tc>
          <w:tcPr>
            <w:tcW w:w="2467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56"/>
              <w:rPr>
                <w:sz w:val="16"/>
              </w:rPr>
            </w:pPr>
            <w:r>
              <w:rPr>
                <w:sz w:val="16"/>
              </w:rPr>
              <w:t>14,258</w:t>
            </w:r>
          </w:p>
        </w:tc>
      </w:tr>
      <w:tr>
        <w:trPr>
          <w:trHeight w:val="205" w:hRule="atLeast"/>
        </w:trPr>
        <w:tc>
          <w:tcPr>
            <w:tcW w:w="360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224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29"/>
              <w:rPr>
                <w:sz w:val="16"/>
              </w:rPr>
            </w:pPr>
            <w:r>
              <w:rPr>
                <w:sz w:val="16"/>
              </w:rPr>
              <w:t>22,532</w:t>
            </w:r>
          </w:p>
        </w:tc>
        <w:tc>
          <w:tcPr>
            <w:tcW w:w="19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74"/>
              <w:rPr>
                <w:sz w:val="16"/>
              </w:rPr>
            </w:pPr>
            <w:r>
              <w:rPr>
                <w:sz w:val="16"/>
              </w:rPr>
              <w:t>11,266</w:t>
            </w:r>
          </w:p>
        </w:tc>
        <w:tc>
          <w:tcPr>
            <w:tcW w:w="246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56"/>
              <w:rPr>
                <w:sz w:val="16"/>
              </w:rPr>
            </w:pPr>
            <w:r>
              <w:rPr>
                <w:sz w:val="16"/>
              </w:rPr>
              <w:t>11,266</w:t>
            </w:r>
          </w:p>
        </w:tc>
      </w:tr>
      <w:tr>
        <w:trPr>
          <w:trHeight w:val="205" w:hRule="atLeast"/>
        </w:trPr>
        <w:tc>
          <w:tcPr>
            <w:tcW w:w="360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224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29"/>
              <w:rPr>
                <w:sz w:val="16"/>
              </w:rPr>
            </w:pPr>
            <w:r>
              <w:rPr>
                <w:sz w:val="16"/>
              </w:rPr>
              <w:t>22,532</w:t>
            </w:r>
          </w:p>
        </w:tc>
        <w:tc>
          <w:tcPr>
            <w:tcW w:w="19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74"/>
              <w:rPr>
                <w:sz w:val="16"/>
              </w:rPr>
            </w:pPr>
            <w:r>
              <w:rPr>
                <w:sz w:val="16"/>
              </w:rPr>
              <w:t>11,266</w:t>
            </w:r>
          </w:p>
        </w:tc>
        <w:tc>
          <w:tcPr>
            <w:tcW w:w="246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56"/>
              <w:rPr>
                <w:sz w:val="16"/>
              </w:rPr>
            </w:pPr>
            <w:r>
              <w:rPr>
                <w:sz w:val="16"/>
              </w:rPr>
              <w:t>11,266</w:t>
            </w:r>
          </w:p>
        </w:tc>
      </w:tr>
      <w:tr>
        <w:trPr>
          <w:trHeight w:val="205" w:hRule="atLeast"/>
        </w:trPr>
        <w:tc>
          <w:tcPr>
            <w:tcW w:w="360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Maynard</w:t>
            </w:r>
          </w:p>
        </w:tc>
        <w:tc>
          <w:tcPr>
            <w:tcW w:w="224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229"/>
              <w:rPr>
                <w:sz w:val="16"/>
              </w:rPr>
            </w:pPr>
            <w:r>
              <w:rPr>
                <w:sz w:val="16"/>
              </w:rPr>
              <w:t>12,426</w:t>
            </w:r>
          </w:p>
        </w:tc>
        <w:tc>
          <w:tcPr>
            <w:tcW w:w="19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74"/>
              <w:rPr>
                <w:sz w:val="16"/>
              </w:rPr>
            </w:pPr>
            <w:r>
              <w:rPr>
                <w:sz w:val="16"/>
              </w:rPr>
              <w:t>6,213</w:t>
            </w:r>
          </w:p>
        </w:tc>
        <w:tc>
          <w:tcPr>
            <w:tcW w:w="246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56"/>
              <w:rPr>
                <w:sz w:val="16"/>
              </w:rPr>
            </w:pPr>
            <w:r>
              <w:rPr>
                <w:sz w:val="16"/>
              </w:rPr>
              <w:t>6,213</w:t>
            </w:r>
          </w:p>
        </w:tc>
      </w:tr>
      <w:tr>
        <w:trPr>
          <w:trHeight w:val="219" w:hRule="atLeast"/>
        </w:trPr>
        <w:tc>
          <w:tcPr>
            <w:tcW w:w="360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Eldersveld</w:t>
            </w:r>
          </w:p>
        </w:tc>
        <w:tc>
          <w:tcPr>
            <w:tcW w:w="2242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229"/>
              <w:rPr>
                <w:sz w:val="16"/>
              </w:rPr>
            </w:pPr>
            <w:r>
              <w:rPr>
                <w:sz w:val="16"/>
              </w:rPr>
              <w:t>13,758</w:t>
            </w:r>
          </w:p>
        </w:tc>
        <w:tc>
          <w:tcPr>
            <w:tcW w:w="193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74"/>
              <w:rPr>
                <w:sz w:val="16"/>
              </w:rPr>
            </w:pPr>
            <w:r>
              <w:rPr>
                <w:sz w:val="16"/>
              </w:rPr>
              <w:t>6,879</w:t>
            </w:r>
          </w:p>
        </w:tc>
        <w:tc>
          <w:tcPr>
            <w:tcW w:w="2467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69" w:lineRule="exact"/>
              <w:ind w:right="156"/>
              <w:rPr>
                <w:sz w:val="16"/>
              </w:rPr>
            </w:pPr>
            <w:r>
              <w:rPr>
                <w:sz w:val="16"/>
              </w:rPr>
              <w:t>6,879</w:t>
            </w:r>
          </w:p>
        </w:tc>
      </w:tr>
    </w:tbl>
    <w:p>
      <w:pPr>
        <w:spacing w:line="172" w:lineRule="exact" w:before="72"/>
        <w:ind w:left="302" w:right="0" w:firstLine="0"/>
        <w:jc w:val="left"/>
        <w:rPr>
          <w:sz w:val="16"/>
        </w:rPr>
      </w:pPr>
      <w:r>
        <w:rPr>
          <w:sz w:val="16"/>
          <w:vertAlign w:val="superscript"/>
        </w:rPr>
        <w:t>(a)</w:t>
      </w:r>
      <w:r>
        <w:rPr>
          <w:spacing w:val="25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vested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31,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2022,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27,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2023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26,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2024.</w:t>
      </w:r>
    </w:p>
    <w:p>
      <w:pPr>
        <w:spacing w:line="208" w:lineRule="auto" w:before="8"/>
        <w:ind w:left="302" w:right="376" w:firstLine="0"/>
        <w:jc w:val="left"/>
        <w:rPr>
          <w:sz w:val="16"/>
        </w:rPr>
      </w:pPr>
      <w:r>
        <w:rPr/>
        <w:pict>
          <v:group style="position:absolute;margin-left:49.5pt;margin-top:17.608391pt;width:507.75pt;height:1pt;mso-position-horizontal-relative:page;mso-position-vertical-relative:paragraph;z-index:-15690752;mso-wrap-distance-left:0;mso-wrap-distance-right:0" id="docshapegroup104" coordorigin="990,352" coordsize="10155,20">
            <v:shape style="position:absolute;left:990;top:362;width:10155;height:2" id="docshape105" coordorigin="990,362" coordsize="10155,0" path="m11145,362l990,362e" filled="true" fillcolor="#000000" stroked="false">
              <v:path arrowok="t"/>
              <v:fill opacity="0f" type="solid"/>
            </v:shape>
            <v:line style="position:absolute" from="990,362" to="11145,362" stroked="true" strokeweight="1pt" strokecolor="#00539e">
              <v:stroke dashstyle="solid"/>
            </v:line>
            <w10:wrap type="topAndBottom"/>
          </v:group>
        </w:pict>
      </w:r>
      <w:r>
        <w:rPr>
          <w:sz w:val="16"/>
          <w:vertAlign w:val="superscript"/>
        </w:rPr>
        <w:t>(b)</w:t>
      </w:r>
      <w:r>
        <w:rPr>
          <w:sz w:val="16"/>
          <w:vertAlign w:val="baseline"/>
        </w:rPr>
        <w:t> One-third vested on January 31, 2022, one-third vests on January 27, 2023 and one-third vests on January 26, 2024, subject to satisfaction</w:t>
      </w:r>
      <w:r>
        <w:rPr>
          <w:spacing w:val="-42"/>
          <w:sz w:val="16"/>
          <w:vertAlign w:val="baseline"/>
        </w:rPr>
        <w:t> </w:t>
      </w:r>
      <w:r>
        <w:rPr>
          <w:sz w:val="16"/>
          <w:vertAlign w:val="baseline"/>
        </w:rPr>
        <w:t>of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performance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conditions as further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discussed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below.</w:t>
      </w:r>
    </w:p>
    <w:p>
      <w:pPr>
        <w:pStyle w:val="BodyText"/>
        <w:spacing w:before="3"/>
        <w:rPr>
          <w:sz w:val="25"/>
        </w:rPr>
      </w:pPr>
    </w:p>
    <w:p>
      <w:pPr>
        <w:pStyle w:val="Heading3"/>
        <w:spacing w:before="93"/>
      </w:pPr>
      <w:r>
        <w:rPr>
          <w:color w:val="00539E"/>
        </w:rPr>
        <w:t>Performance</w:t>
      </w:r>
      <w:r>
        <w:rPr>
          <w:color w:val="00539E"/>
          <w:spacing w:val="-7"/>
        </w:rPr>
        <w:t> </w:t>
      </w:r>
      <w:r>
        <w:rPr>
          <w:color w:val="00539E"/>
        </w:rPr>
        <w:t>Conditions</w:t>
      </w:r>
    </w:p>
    <w:p>
      <w:pPr>
        <w:pStyle w:val="BodyText"/>
        <w:spacing w:line="249" w:lineRule="auto" w:before="115"/>
        <w:ind w:left="250" w:right="282"/>
      </w:pPr>
      <w:r>
        <w:rPr>
          <w:spacing w:val="-1"/>
        </w:rPr>
        <w:t>In accordance with </w:t>
      </w:r>
      <w:r>
        <w:rPr/>
        <w:t>FASB ASC 718, the performance-based portion of the Restricted Stock Awards are deemed</w:t>
      </w:r>
      <w:r>
        <w:rPr>
          <w:spacing w:val="1"/>
        </w:rPr>
        <w:t> </w:t>
      </w:r>
      <w:r>
        <w:rPr/>
        <w:t>granted on the date the performance conditions are approved by the Compensation Committee ("Grant Date") and,</w:t>
      </w:r>
      <w:r>
        <w:rPr>
          <w:spacing w:val="1"/>
        </w:rPr>
        <w:t> </w:t>
      </w:r>
      <w:r>
        <w:rPr/>
        <w:t>accordingly,</w:t>
      </w:r>
      <w:r>
        <w:rPr>
          <w:spacing w:val="-7"/>
        </w:rPr>
        <w:t> </w:t>
      </w:r>
      <w:r>
        <w:rPr/>
        <w:t>are</w:t>
      </w:r>
      <w:r>
        <w:rPr>
          <w:spacing w:val="-6"/>
        </w:rPr>
        <w:t> </w:t>
      </w:r>
      <w:r>
        <w:rPr/>
        <w:t>included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Summary</w:t>
      </w:r>
      <w:r>
        <w:rPr>
          <w:spacing w:val="-6"/>
        </w:rPr>
        <w:t> </w:t>
      </w:r>
      <w:r>
        <w:rPr/>
        <w:t>Compensation</w:t>
      </w:r>
      <w:r>
        <w:rPr>
          <w:spacing w:val="-8"/>
        </w:rPr>
        <w:t> </w:t>
      </w:r>
      <w:r>
        <w:rPr/>
        <w:t>Table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this</w:t>
      </w:r>
      <w:r>
        <w:rPr>
          <w:spacing w:val="-7"/>
        </w:rPr>
        <w:t> </w:t>
      </w:r>
      <w:r>
        <w:rPr/>
        <w:t>Proxy</w:t>
      </w:r>
      <w:r>
        <w:rPr>
          <w:spacing w:val="-6"/>
        </w:rPr>
        <w:t> </w:t>
      </w:r>
      <w:r>
        <w:rPr/>
        <w:t>Statement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year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approval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conditions. The value of the performance-based portion of these awards is based on the closing price</w:t>
      </w:r>
      <w:r>
        <w:rPr>
          <w:spacing w:val="1"/>
        </w:rPr>
        <w:t> </w:t>
      </w:r>
      <w:r>
        <w:rPr/>
        <w:t>of the Company's stock on the date of approval of the performance conditions ("Grant Date Fair Value") and that</w:t>
      </w:r>
      <w:r>
        <w:rPr>
          <w:spacing w:val="1"/>
        </w:rPr>
        <w:t> </w:t>
      </w:r>
      <w:r>
        <w:rPr/>
        <w:t>amount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Summary</w:t>
      </w:r>
      <w:r>
        <w:rPr>
          <w:spacing w:val="-3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Table,</w:t>
      </w:r>
      <w:r>
        <w:rPr>
          <w:spacing w:val="-3"/>
        </w:rPr>
        <w:t> </w:t>
      </w:r>
      <w:r>
        <w:rPr/>
        <w:t>even</w:t>
      </w:r>
      <w:r>
        <w:rPr>
          <w:spacing w:val="-3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awards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subsequently</w:t>
      </w:r>
      <w:r>
        <w:rPr>
          <w:spacing w:val="-3"/>
        </w:rPr>
        <w:t> </w:t>
      </w:r>
      <w:r>
        <w:rPr/>
        <w:t>forfeited.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49" w:lineRule="auto" w:before="1"/>
        <w:ind w:left="250" w:right="272"/>
      </w:pPr>
      <w:r>
        <w:rPr>
          <w:b/>
        </w:rPr>
        <w:t>2019 Performance Conditions:</w:t>
      </w:r>
      <w:r>
        <w:rPr>
          <w:b/>
          <w:spacing w:val="1"/>
        </w:rPr>
        <w:t> </w:t>
      </w:r>
      <w:r>
        <w:rPr/>
        <w:t>Effective February 11, 2019, the Compensation Committee established the</w:t>
      </w:r>
      <w:r>
        <w:rPr>
          <w:spacing w:val="1"/>
        </w:rPr>
        <w:t> </w:t>
      </w:r>
      <w:r>
        <w:rPr>
          <w:spacing w:val="-1"/>
        </w:rPr>
        <w:t>following performance conditions for </w:t>
      </w:r>
      <w:r>
        <w:rPr/>
        <w:t>the performance-based portion of the 2018 Awards and the 2019 Awards with a</w:t>
      </w:r>
      <w:r>
        <w:rPr>
          <w:spacing w:val="-53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period</w:t>
      </w:r>
      <w:r>
        <w:rPr>
          <w:spacing w:val="-1"/>
        </w:rPr>
        <w:t> </w:t>
      </w:r>
      <w:r>
        <w:rPr/>
        <w:t>January</w:t>
      </w:r>
      <w:r>
        <w:rPr>
          <w:spacing w:val="-2"/>
        </w:rPr>
        <w:t> </w:t>
      </w:r>
      <w:r>
        <w:rPr/>
        <w:t>1,</w:t>
      </w:r>
      <w:r>
        <w:rPr>
          <w:spacing w:val="-1"/>
        </w:rPr>
        <w:t> </w:t>
      </w:r>
      <w:r>
        <w:rPr/>
        <w:t>2019</w:t>
      </w:r>
      <w:r>
        <w:rPr>
          <w:spacing w:val="-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31,</w:t>
      </w:r>
      <w:r>
        <w:rPr>
          <w:spacing w:val="-2"/>
        </w:rPr>
        <w:t> </w:t>
      </w:r>
      <w:r>
        <w:rPr/>
        <w:t>2019:</w:t>
      </w:r>
    </w:p>
    <w:p>
      <w:pPr>
        <w:pStyle w:val="Heading5"/>
        <w:spacing w:line="249" w:lineRule="auto" w:before="102"/>
        <w:ind w:left="3216" w:right="770" w:hanging="1592"/>
      </w:pPr>
      <w:r>
        <w:rPr>
          <w:color w:val="00539E"/>
        </w:rPr>
        <w:t>"Achieve</w:t>
      </w:r>
      <w:r>
        <w:rPr>
          <w:color w:val="00539E"/>
          <w:spacing w:val="-5"/>
        </w:rPr>
        <w:t> </w:t>
      </w:r>
      <w:r>
        <w:rPr>
          <w:color w:val="00539E"/>
        </w:rPr>
        <w:t>Normalized</w:t>
      </w:r>
      <w:r>
        <w:rPr>
          <w:color w:val="00539E"/>
          <w:spacing w:val="-5"/>
        </w:rPr>
        <w:t> </w:t>
      </w:r>
      <w:r>
        <w:rPr>
          <w:color w:val="00539E"/>
        </w:rPr>
        <w:t>FFO</w:t>
      </w:r>
      <w:r>
        <w:rPr>
          <w:color w:val="00539E"/>
          <w:spacing w:val="-5"/>
        </w:rPr>
        <w:t> </w:t>
      </w:r>
      <w:r>
        <w:rPr>
          <w:color w:val="00539E"/>
        </w:rPr>
        <w:t>per</w:t>
      </w:r>
      <w:r>
        <w:rPr>
          <w:color w:val="00539E"/>
          <w:spacing w:val="-5"/>
        </w:rPr>
        <w:t> </w:t>
      </w:r>
      <w:r>
        <w:rPr>
          <w:color w:val="00539E"/>
        </w:rPr>
        <w:t>Common</w:t>
      </w:r>
      <w:r>
        <w:rPr>
          <w:color w:val="00539E"/>
          <w:spacing w:val="-5"/>
        </w:rPr>
        <w:t> </w:t>
      </w:r>
      <w:r>
        <w:rPr>
          <w:color w:val="00539E"/>
        </w:rPr>
        <w:t>Share</w:t>
      </w:r>
      <w:r>
        <w:rPr>
          <w:color w:val="00539E"/>
          <w:spacing w:val="-5"/>
        </w:rPr>
        <w:t> </w:t>
      </w:r>
      <w:r>
        <w:rPr>
          <w:color w:val="00539E"/>
        </w:rPr>
        <w:t>(fully</w:t>
      </w:r>
      <w:r>
        <w:rPr>
          <w:color w:val="00539E"/>
          <w:spacing w:val="-5"/>
        </w:rPr>
        <w:t> </w:t>
      </w:r>
      <w:r>
        <w:rPr>
          <w:color w:val="00539E"/>
        </w:rPr>
        <w:t>diluted)</w:t>
      </w:r>
      <w:r>
        <w:rPr>
          <w:color w:val="00539E"/>
          <w:spacing w:val="-5"/>
        </w:rPr>
        <w:t> </w:t>
      </w:r>
      <w:r>
        <w:rPr>
          <w:color w:val="00539E"/>
        </w:rPr>
        <w:t>for</w:t>
      </w:r>
      <w:r>
        <w:rPr>
          <w:color w:val="00539E"/>
          <w:spacing w:val="-5"/>
        </w:rPr>
        <w:t> </w:t>
      </w:r>
      <w:r>
        <w:rPr>
          <w:color w:val="00539E"/>
        </w:rPr>
        <w:t>the</w:t>
      </w:r>
      <w:r>
        <w:rPr>
          <w:color w:val="00539E"/>
          <w:spacing w:val="-5"/>
        </w:rPr>
        <w:t> </w:t>
      </w:r>
      <w:r>
        <w:rPr>
          <w:color w:val="00539E"/>
        </w:rPr>
        <w:t>year</w:t>
      </w:r>
      <w:r>
        <w:rPr>
          <w:color w:val="00539E"/>
          <w:spacing w:val="-5"/>
        </w:rPr>
        <w:t> </w:t>
      </w:r>
      <w:r>
        <w:rPr>
          <w:color w:val="00539E"/>
        </w:rPr>
        <w:t>ending</w:t>
      </w:r>
      <w:r>
        <w:rPr>
          <w:color w:val="00539E"/>
          <w:spacing w:val="-52"/>
        </w:rPr>
        <w:t> </w:t>
      </w:r>
      <w:r>
        <w:rPr>
          <w:color w:val="00539E"/>
        </w:rPr>
        <w:t>December</w:t>
      </w:r>
      <w:r>
        <w:rPr>
          <w:color w:val="00539E"/>
          <w:spacing w:val="-2"/>
        </w:rPr>
        <w:t> </w:t>
      </w:r>
      <w:r>
        <w:rPr>
          <w:color w:val="00539E"/>
        </w:rPr>
        <w:t>31,</w:t>
      </w:r>
      <w:r>
        <w:rPr>
          <w:color w:val="00539E"/>
          <w:spacing w:val="-2"/>
        </w:rPr>
        <w:t> </w:t>
      </w:r>
      <w:r>
        <w:rPr>
          <w:color w:val="00539E"/>
        </w:rPr>
        <w:t>2019</w:t>
      </w:r>
      <w:r>
        <w:rPr>
          <w:color w:val="00539E"/>
          <w:spacing w:val="-2"/>
        </w:rPr>
        <w:t> </w:t>
      </w:r>
      <w:r>
        <w:rPr>
          <w:color w:val="00539E"/>
        </w:rPr>
        <w:t>between</w:t>
      </w:r>
      <w:r>
        <w:rPr>
          <w:color w:val="00539E"/>
          <w:spacing w:val="-2"/>
        </w:rPr>
        <w:t> </w:t>
      </w:r>
      <w:r>
        <w:rPr>
          <w:color w:val="00539E"/>
        </w:rPr>
        <w:t>$2.04</w:t>
      </w:r>
      <w:r>
        <w:rPr>
          <w:color w:val="00539E"/>
          <w:spacing w:val="-2"/>
        </w:rPr>
        <w:t> </w:t>
      </w:r>
      <w:r>
        <w:rPr>
          <w:color w:val="00539E"/>
        </w:rPr>
        <w:t>and</w:t>
      </w:r>
      <w:r>
        <w:rPr>
          <w:color w:val="00539E"/>
          <w:spacing w:val="-1"/>
        </w:rPr>
        <w:t> </w:t>
      </w:r>
      <w:r>
        <w:rPr>
          <w:color w:val="00539E"/>
        </w:rPr>
        <w:t>$2.09."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49" w:lineRule="auto"/>
        <w:ind w:left="250" w:right="380"/>
      </w:pPr>
      <w:r>
        <w:rPr>
          <w:spacing w:val="-1"/>
        </w:rPr>
        <w:t>As such, this portion of the 2018 Awards and 2019 Awards was deemed </w:t>
      </w:r>
      <w:r>
        <w:rPr/>
        <w:t>granted on February 11, 2019 with a Grant</w:t>
      </w:r>
      <w:r>
        <w:rPr>
          <w:spacing w:val="-53"/>
        </w:rPr>
        <w:t> </w:t>
      </w:r>
      <w:r>
        <w:rPr/>
        <w:t>Date Fair Value of $54.90 per share. On January 21, 2020, the Compensation Committee determined that such</w:t>
      </w:r>
      <w:r>
        <w:rPr>
          <w:spacing w:val="1"/>
        </w:rPr>
        <w:t> </w:t>
      </w:r>
      <w:r>
        <w:rPr/>
        <w:t>vesting criteria had been met and all of this portion of the 2018 Awards and 2019 Awards vested on January 31,</w:t>
      </w:r>
      <w:r>
        <w:rPr>
          <w:spacing w:val="1"/>
        </w:rPr>
        <w:t> </w:t>
      </w:r>
      <w:r>
        <w:rPr/>
        <w:t>2020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3"/>
        <w:rPr>
          <w:sz w:val="29"/>
        </w:rPr>
      </w:pPr>
    </w:p>
    <w:p>
      <w:pPr>
        <w:spacing w:before="0" w:after="30"/>
        <w:ind w:left="4557" w:right="0" w:firstLine="0"/>
        <w:jc w:val="left"/>
        <w:rPr>
          <w:b/>
          <w:sz w:val="16"/>
        </w:rPr>
      </w:pPr>
      <w:r>
        <w:rPr>
          <w:b/>
          <w:sz w:val="16"/>
        </w:rPr>
        <w:t>#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Shares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Vested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2019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Performance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Period</w:t>
      </w:r>
    </w:p>
    <w:tbl>
      <w:tblPr>
        <w:tblW w:w="0" w:type="auto"/>
        <w:jc w:val="left"/>
        <w:tblInd w:w="2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5"/>
        <w:gridCol w:w="2271"/>
        <w:gridCol w:w="1419"/>
      </w:tblGrid>
      <w:tr>
        <w:trPr>
          <w:trHeight w:val="295" w:hRule="atLeast"/>
        </w:trPr>
        <w:tc>
          <w:tcPr>
            <w:tcW w:w="184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2271" w:type="dxa"/>
            <w:tcBorders>
              <w:top w:val="single" w:sz="8" w:space="0" w:color="00539E"/>
              <w:bottom w:val="single" w:sz="8" w:space="0" w:color="00539E"/>
            </w:tcBorders>
          </w:tcPr>
          <w:p>
            <w:pPr>
              <w:pStyle w:val="TableParagraph"/>
              <w:spacing w:before="91"/>
              <w:ind w:right="476"/>
              <w:rPr>
                <w:b/>
                <w:sz w:val="16"/>
              </w:rPr>
            </w:pPr>
            <w:r>
              <w:rPr>
                <w:b/>
                <w:sz w:val="16"/>
              </w:rPr>
              <w:t>2018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</w:tc>
        <w:tc>
          <w:tcPr>
            <w:tcW w:w="1419" w:type="dxa"/>
            <w:tcBorders>
              <w:top w:val="single" w:sz="8" w:space="0" w:color="00539E"/>
              <w:bottom w:val="single" w:sz="8" w:space="0" w:color="00539E"/>
            </w:tcBorders>
          </w:tcPr>
          <w:p>
            <w:pPr>
              <w:pStyle w:val="TableParagraph"/>
              <w:spacing w:before="91"/>
              <w:ind w:right="50"/>
              <w:rPr>
                <w:b/>
                <w:sz w:val="16"/>
              </w:rPr>
            </w:pPr>
            <w:r>
              <w:rPr>
                <w:b/>
                <w:sz w:val="16"/>
              </w:rPr>
              <w:t>2019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</w:tc>
      </w:tr>
      <w:tr>
        <w:trPr>
          <w:trHeight w:val="295" w:hRule="atLeast"/>
        </w:trPr>
        <w:tc>
          <w:tcPr>
            <w:tcW w:w="1845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2271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492"/>
              <w:rPr>
                <w:sz w:val="16"/>
              </w:rPr>
            </w:pPr>
            <w:r>
              <w:rPr>
                <w:sz w:val="16"/>
              </w:rPr>
              <w:t>6,500</w:t>
            </w:r>
          </w:p>
        </w:tc>
        <w:tc>
          <w:tcPr>
            <w:tcW w:w="1419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5,500</w:t>
            </w:r>
          </w:p>
        </w:tc>
      </w:tr>
      <w:tr>
        <w:trPr>
          <w:trHeight w:val="295" w:hRule="atLeast"/>
        </w:trPr>
        <w:tc>
          <w:tcPr>
            <w:tcW w:w="184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227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492"/>
              <w:rPr>
                <w:sz w:val="16"/>
              </w:rPr>
            </w:pPr>
            <w:r>
              <w:rPr>
                <w:sz w:val="16"/>
              </w:rPr>
              <w:t>5,334</w:t>
            </w:r>
          </w:p>
        </w:tc>
        <w:tc>
          <w:tcPr>
            <w:tcW w:w="14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4,534</w:t>
            </w:r>
          </w:p>
        </w:tc>
      </w:tr>
      <w:tr>
        <w:trPr>
          <w:trHeight w:val="295" w:hRule="atLeast"/>
        </w:trPr>
        <w:tc>
          <w:tcPr>
            <w:tcW w:w="184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227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492"/>
              <w:rPr>
                <w:sz w:val="16"/>
              </w:rPr>
            </w:pPr>
            <w:r>
              <w:rPr>
                <w:sz w:val="16"/>
              </w:rPr>
              <w:t>5,334</w:t>
            </w:r>
          </w:p>
        </w:tc>
        <w:tc>
          <w:tcPr>
            <w:tcW w:w="14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4,534</w:t>
            </w:r>
          </w:p>
        </w:tc>
      </w:tr>
      <w:tr>
        <w:trPr>
          <w:trHeight w:val="295" w:hRule="atLeast"/>
        </w:trPr>
        <w:tc>
          <w:tcPr>
            <w:tcW w:w="184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Maynard</w:t>
            </w:r>
          </w:p>
        </w:tc>
        <w:tc>
          <w:tcPr>
            <w:tcW w:w="2271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492"/>
              <w:rPr>
                <w:sz w:val="16"/>
              </w:rPr>
            </w:pPr>
            <w:r>
              <w:rPr>
                <w:sz w:val="16"/>
              </w:rPr>
              <w:t>2,917</w:t>
            </w:r>
          </w:p>
        </w:tc>
        <w:tc>
          <w:tcPr>
            <w:tcW w:w="141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17" w:top="900" w:bottom="780" w:left="740" w:right="700"/>
        </w:sectPr>
      </w:pPr>
    </w:p>
    <w:p>
      <w:pPr>
        <w:pStyle w:val="BodyText"/>
        <w:spacing w:line="249" w:lineRule="auto" w:before="73"/>
        <w:ind w:left="250" w:right="397"/>
      </w:pPr>
      <w:r>
        <w:rPr>
          <w:b/>
        </w:rPr>
        <w:t>2020 Performance Conditions:</w:t>
      </w:r>
      <w:r>
        <w:rPr>
          <w:b/>
          <w:spacing w:val="1"/>
        </w:rPr>
        <w:t> </w:t>
      </w:r>
      <w:r>
        <w:rPr/>
        <w:t>Effective February 11, 2020, the Compensation Committee established the</w:t>
      </w:r>
      <w:r>
        <w:rPr>
          <w:spacing w:val="1"/>
        </w:rPr>
        <w:t> </w:t>
      </w:r>
      <w:r>
        <w:rPr>
          <w:spacing w:val="-1"/>
        </w:rPr>
        <w:t>following performance condition for the </w:t>
      </w:r>
      <w:r>
        <w:rPr/>
        <w:t>performance-based portion of the 2018 Awards, the 2019 Awards and 2020</w:t>
      </w:r>
      <w:r>
        <w:rPr>
          <w:spacing w:val="-53"/>
        </w:rPr>
        <w:t> </w:t>
      </w:r>
      <w:r>
        <w:rPr/>
        <w:t>Awards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period</w:t>
      </w:r>
      <w:r>
        <w:rPr>
          <w:spacing w:val="-2"/>
        </w:rPr>
        <w:t> </w:t>
      </w:r>
      <w:r>
        <w:rPr/>
        <w:t>January</w:t>
      </w:r>
      <w:r>
        <w:rPr>
          <w:spacing w:val="-1"/>
        </w:rPr>
        <w:t> </w:t>
      </w:r>
      <w:r>
        <w:rPr/>
        <w:t>1,</w:t>
      </w:r>
      <w:r>
        <w:rPr>
          <w:spacing w:val="-2"/>
        </w:rPr>
        <w:t> </w:t>
      </w:r>
      <w:r>
        <w:rPr/>
        <w:t>2020</w:t>
      </w:r>
      <w:r>
        <w:rPr>
          <w:spacing w:val="-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31,</w:t>
      </w:r>
      <w:r>
        <w:rPr>
          <w:spacing w:val="-2"/>
        </w:rPr>
        <w:t> </w:t>
      </w:r>
      <w:r>
        <w:rPr/>
        <w:t>2020:</w:t>
      </w:r>
    </w:p>
    <w:p>
      <w:pPr>
        <w:pStyle w:val="Heading5"/>
        <w:spacing w:line="249" w:lineRule="auto" w:before="102"/>
        <w:ind w:left="3216" w:right="770" w:hanging="1592"/>
      </w:pPr>
      <w:r>
        <w:rPr>
          <w:color w:val="00539E"/>
        </w:rPr>
        <w:t>"Achieve</w:t>
      </w:r>
      <w:r>
        <w:rPr>
          <w:color w:val="00539E"/>
          <w:spacing w:val="-5"/>
        </w:rPr>
        <w:t> </w:t>
      </w:r>
      <w:r>
        <w:rPr>
          <w:color w:val="00539E"/>
        </w:rPr>
        <w:t>Normalized</w:t>
      </w:r>
      <w:r>
        <w:rPr>
          <w:color w:val="00539E"/>
          <w:spacing w:val="-5"/>
        </w:rPr>
        <w:t> </w:t>
      </w:r>
      <w:r>
        <w:rPr>
          <w:color w:val="00539E"/>
        </w:rPr>
        <w:t>FFO</w:t>
      </w:r>
      <w:r>
        <w:rPr>
          <w:color w:val="00539E"/>
          <w:spacing w:val="-5"/>
        </w:rPr>
        <w:t> </w:t>
      </w:r>
      <w:r>
        <w:rPr>
          <w:color w:val="00539E"/>
        </w:rPr>
        <w:t>per</w:t>
      </w:r>
      <w:r>
        <w:rPr>
          <w:color w:val="00539E"/>
          <w:spacing w:val="-5"/>
        </w:rPr>
        <w:t> </w:t>
      </w:r>
      <w:r>
        <w:rPr>
          <w:color w:val="00539E"/>
        </w:rPr>
        <w:t>Common</w:t>
      </w:r>
      <w:r>
        <w:rPr>
          <w:color w:val="00539E"/>
          <w:spacing w:val="-5"/>
        </w:rPr>
        <w:t> </w:t>
      </w:r>
      <w:r>
        <w:rPr>
          <w:color w:val="00539E"/>
        </w:rPr>
        <w:t>Share</w:t>
      </w:r>
      <w:r>
        <w:rPr>
          <w:color w:val="00539E"/>
          <w:spacing w:val="-5"/>
        </w:rPr>
        <w:t> </w:t>
      </w:r>
      <w:r>
        <w:rPr>
          <w:color w:val="00539E"/>
        </w:rPr>
        <w:t>(fully</w:t>
      </w:r>
      <w:r>
        <w:rPr>
          <w:color w:val="00539E"/>
          <w:spacing w:val="-5"/>
        </w:rPr>
        <w:t> </w:t>
      </w:r>
      <w:r>
        <w:rPr>
          <w:color w:val="00539E"/>
        </w:rPr>
        <w:t>diluted)</w:t>
      </w:r>
      <w:r>
        <w:rPr>
          <w:color w:val="00539E"/>
          <w:spacing w:val="-5"/>
        </w:rPr>
        <w:t> </w:t>
      </w:r>
      <w:r>
        <w:rPr>
          <w:color w:val="00539E"/>
        </w:rPr>
        <w:t>for</w:t>
      </w:r>
      <w:r>
        <w:rPr>
          <w:color w:val="00539E"/>
          <w:spacing w:val="-5"/>
        </w:rPr>
        <w:t> </w:t>
      </w:r>
      <w:r>
        <w:rPr>
          <w:color w:val="00539E"/>
        </w:rPr>
        <w:t>the</w:t>
      </w:r>
      <w:r>
        <w:rPr>
          <w:color w:val="00539E"/>
          <w:spacing w:val="-5"/>
        </w:rPr>
        <w:t> </w:t>
      </w:r>
      <w:r>
        <w:rPr>
          <w:color w:val="00539E"/>
        </w:rPr>
        <w:t>year</w:t>
      </w:r>
      <w:r>
        <w:rPr>
          <w:color w:val="00539E"/>
          <w:spacing w:val="-5"/>
        </w:rPr>
        <w:t> </w:t>
      </w:r>
      <w:r>
        <w:rPr>
          <w:color w:val="00539E"/>
        </w:rPr>
        <w:t>ending</w:t>
      </w:r>
      <w:r>
        <w:rPr>
          <w:color w:val="00539E"/>
          <w:spacing w:val="-52"/>
        </w:rPr>
        <w:t> </w:t>
      </w:r>
      <w:r>
        <w:rPr>
          <w:color w:val="00539E"/>
        </w:rPr>
        <w:t>December</w:t>
      </w:r>
      <w:r>
        <w:rPr>
          <w:color w:val="00539E"/>
          <w:spacing w:val="-2"/>
        </w:rPr>
        <w:t> </w:t>
      </w:r>
      <w:r>
        <w:rPr>
          <w:color w:val="00539E"/>
        </w:rPr>
        <w:t>31,</w:t>
      </w:r>
      <w:r>
        <w:rPr>
          <w:color w:val="00539E"/>
          <w:spacing w:val="-2"/>
        </w:rPr>
        <w:t> </w:t>
      </w:r>
      <w:r>
        <w:rPr>
          <w:color w:val="00539E"/>
        </w:rPr>
        <w:t>2020</w:t>
      </w:r>
      <w:r>
        <w:rPr>
          <w:color w:val="00539E"/>
          <w:spacing w:val="-2"/>
        </w:rPr>
        <w:t> </w:t>
      </w:r>
      <w:r>
        <w:rPr>
          <w:color w:val="00539E"/>
        </w:rPr>
        <w:t>between</w:t>
      </w:r>
      <w:r>
        <w:rPr>
          <w:color w:val="00539E"/>
          <w:spacing w:val="-2"/>
        </w:rPr>
        <w:t> </w:t>
      </w:r>
      <w:r>
        <w:rPr>
          <w:color w:val="00539E"/>
        </w:rPr>
        <w:t>$2.19</w:t>
      </w:r>
      <w:r>
        <w:rPr>
          <w:color w:val="00539E"/>
          <w:spacing w:val="-2"/>
        </w:rPr>
        <w:t> </w:t>
      </w:r>
      <w:r>
        <w:rPr>
          <w:color w:val="00539E"/>
        </w:rPr>
        <w:t>and</w:t>
      </w:r>
      <w:r>
        <w:rPr>
          <w:color w:val="00539E"/>
          <w:spacing w:val="-1"/>
        </w:rPr>
        <w:t> </w:t>
      </w:r>
      <w:r>
        <w:rPr>
          <w:color w:val="00539E"/>
        </w:rPr>
        <w:t>$2.25."</w:t>
      </w:r>
    </w:p>
    <w:p>
      <w:pPr>
        <w:pStyle w:val="BodyText"/>
        <w:rPr>
          <w:b/>
          <w:sz w:val="21"/>
        </w:rPr>
      </w:pPr>
    </w:p>
    <w:p>
      <w:pPr>
        <w:pStyle w:val="BodyText"/>
        <w:spacing w:line="249" w:lineRule="auto"/>
        <w:ind w:left="250" w:right="298"/>
      </w:pPr>
      <w:r>
        <w:rPr>
          <w:spacing w:val="-1"/>
        </w:rPr>
        <w:t>As such, this portion </w:t>
      </w:r>
      <w:r>
        <w:rPr/>
        <w:t>of the 2018 Awards, 2019 Awards and 2020 Awards was deemed granted on February 11,</w:t>
      </w:r>
      <w:r>
        <w:rPr>
          <w:spacing w:val="1"/>
        </w:rPr>
        <w:t> </w:t>
      </w:r>
      <w:r>
        <w:rPr/>
        <w:t>2020 with a Grant Date Fair Value of $73.46 per share. We continued our strong performance in 2020 amidst the</w:t>
      </w:r>
      <w:r>
        <w:rPr>
          <w:spacing w:val="1"/>
        </w:rPr>
        <w:t> </w:t>
      </w:r>
      <w:r>
        <w:rPr/>
        <w:t>COVID-19 pandemic. Due to the impact of the pandemic on our business, our Normalized FFO for the year ended</w:t>
      </w:r>
      <w:r>
        <w:rPr>
          <w:spacing w:val="1"/>
        </w:rPr>
        <w:t> </w:t>
      </w:r>
      <w:r>
        <w:rPr/>
        <w:t>December 31, 2020 was $2.17 per Common Share (fully diluted) or $0.02 below the performance target.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achieved 99% of the Normalized FFO per Common Share target. In 2020, the Compensation Committee engaged</w:t>
      </w:r>
      <w:r>
        <w:rPr>
          <w:spacing w:val="1"/>
        </w:rPr>
        <w:t> </w:t>
      </w:r>
      <w:r>
        <w:rPr/>
        <w:t>Willis</w:t>
      </w:r>
      <w:r>
        <w:rPr>
          <w:spacing w:val="-9"/>
        </w:rPr>
        <w:t> </w:t>
      </w:r>
      <w:r>
        <w:rPr/>
        <w:t>Towers</w:t>
      </w:r>
      <w:r>
        <w:rPr>
          <w:spacing w:val="-7"/>
        </w:rPr>
        <w:t> </w:t>
      </w:r>
      <w:r>
        <w:rPr/>
        <w:t>Watson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assist</w:t>
      </w:r>
      <w:r>
        <w:rPr>
          <w:spacing w:val="-7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Committee’s</w:t>
      </w:r>
      <w:r>
        <w:rPr>
          <w:spacing w:val="-6"/>
        </w:rPr>
        <w:t> </w:t>
      </w:r>
      <w:r>
        <w:rPr/>
        <w:t>evaluation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achievement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2020</w:t>
      </w:r>
      <w:r>
        <w:rPr>
          <w:spacing w:val="-6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target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provide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recommendation</w:t>
      </w:r>
      <w:r>
        <w:rPr>
          <w:spacing w:val="-4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vesting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2020</w:t>
      </w:r>
      <w:r>
        <w:rPr>
          <w:spacing w:val="-4"/>
        </w:rPr>
        <w:t> </w:t>
      </w:r>
      <w:r>
        <w:rPr/>
        <w:t>performance-based</w:t>
      </w:r>
      <w:r>
        <w:rPr>
          <w:spacing w:val="-3"/>
        </w:rPr>
        <w:t> </w:t>
      </w:r>
      <w:r>
        <w:rPr/>
        <w:t>portion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Restricted</w:t>
      </w:r>
    </w:p>
    <w:p>
      <w:pPr>
        <w:pStyle w:val="BodyText"/>
        <w:spacing w:before="35"/>
        <w:ind w:left="250"/>
      </w:pPr>
      <w:r>
        <w:rPr>
          <w:spacing w:val="-1"/>
        </w:rPr>
        <w:t>Stock</w:t>
      </w:r>
      <w:r>
        <w:rPr>
          <w:spacing w:val="-12"/>
        </w:rPr>
        <w:t> </w:t>
      </w:r>
      <w:r>
        <w:rPr>
          <w:spacing w:val="-1"/>
        </w:rPr>
        <w:t>Awards.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249" w:lineRule="auto"/>
        <w:ind w:left="250"/>
      </w:pPr>
      <w:r>
        <w:rPr/>
        <w:t>The</w:t>
      </w:r>
      <w:r>
        <w:rPr>
          <w:spacing w:val="-5"/>
        </w:rPr>
        <w:t> </w:t>
      </w:r>
      <w:r>
        <w:rPr/>
        <w:t>Committee</w:t>
      </w:r>
      <w:r>
        <w:rPr>
          <w:spacing w:val="-5"/>
        </w:rPr>
        <w:t> </w:t>
      </w:r>
      <w:r>
        <w:rPr/>
        <w:t>reviewed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Company’s</w:t>
      </w:r>
      <w:r>
        <w:rPr>
          <w:spacing w:val="-4"/>
        </w:rPr>
        <w:t> </w:t>
      </w:r>
      <w:r>
        <w:rPr/>
        <w:t>2020</w:t>
      </w:r>
      <w:r>
        <w:rPr>
          <w:spacing w:val="-5"/>
        </w:rPr>
        <w:t> </w:t>
      </w:r>
      <w:r>
        <w:rPr/>
        <w:t>performance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taking</w:t>
      </w:r>
      <w:r>
        <w:rPr>
          <w:spacing w:val="-4"/>
        </w:rPr>
        <w:t> </w:t>
      </w:r>
      <w:r>
        <w:rPr/>
        <w:t>into</w:t>
      </w:r>
      <w:r>
        <w:rPr>
          <w:spacing w:val="-5"/>
        </w:rPr>
        <w:t> </w:t>
      </w:r>
      <w:r>
        <w:rPr/>
        <w:t>account</w:t>
      </w:r>
      <w:r>
        <w:rPr>
          <w:spacing w:val="-4"/>
        </w:rPr>
        <w:t> </w:t>
      </w:r>
      <w:r>
        <w:rPr/>
        <w:t>(a)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COVID-19</w:t>
      </w:r>
      <w:r>
        <w:rPr>
          <w:spacing w:val="1"/>
        </w:rPr>
        <w:t> </w:t>
      </w:r>
      <w:r>
        <w:rPr/>
        <w:t>pandemic</w:t>
      </w:r>
      <w:r>
        <w:rPr>
          <w:spacing w:val="-6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Company’s</w:t>
      </w:r>
      <w:r>
        <w:rPr>
          <w:spacing w:val="-6"/>
        </w:rPr>
        <w:t> </w:t>
      </w:r>
      <w:r>
        <w:rPr/>
        <w:t>business,</w:t>
      </w:r>
      <w:r>
        <w:rPr>
          <w:spacing w:val="-5"/>
        </w:rPr>
        <w:t> </w:t>
      </w:r>
      <w:r>
        <w:rPr/>
        <w:t>(b)</w:t>
      </w:r>
      <w:r>
        <w:rPr>
          <w:spacing w:val="-5"/>
        </w:rPr>
        <w:t> </w:t>
      </w:r>
      <w:r>
        <w:rPr/>
        <w:t>management’s</w:t>
      </w:r>
      <w:r>
        <w:rPr>
          <w:spacing w:val="-5"/>
        </w:rPr>
        <w:t> </w:t>
      </w:r>
      <w:r>
        <w:rPr/>
        <w:t>diligent</w:t>
      </w:r>
      <w:r>
        <w:rPr>
          <w:spacing w:val="-6"/>
        </w:rPr>
        <w:t> </w:t>
      </w:r>
      <w:r>
        <w:rPr/>
        <w:t>efforts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mitigate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pandemic</w:t>
      </w:r>
      <w:r>
        <w:rPr>
          <w:spacing w:val="-6"/>
        </w:rPr>
        <w:t> </w:t>
      </w:r>
      <w:r>
        <w:rPr/>
        <w:t>and</w:t>
      </w:r>
    </w:p>
    <w:p>
      <w:pPr>
        <w:pStyle w:val="BodyText"/>
        <w:spacing w:line="264" w:lineRule="auto" w:before="2"/>
        <w:ind w:left="250" w:right="376"/>
      </w:pPr>
      <w:r>
        <w:rPr/>
        <w:t>(c)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Normalized</w:t>
      </w:r>
      <w:r>
        <w:rPr>
          <w:spacing w:val="-4"/>
        </w:rPr>
        <w:t> </w:t>
      </w:r>
      <w:r>
        <w:rPr/>
        <w:t>FFO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year</w:t>
      </w:r>
      <w:r>
        <w:rPr>
          <w:spacing w:val="-4"/>
        </w:rPr>
        <w:t> </w:t>
      </w:r>
      <w:r>
        <w:rPr/>
        <w:t>ended</w:t>
      </w:r>
      <w:r>
        <w:rPr>
          <w:spacing w:val="-4"/>
        </w:rPr>
        <w:t> </w:t>
      </w:r>
      <w:r>
        <w:rPr/>
        <w:t>December</w:t>
      </w:r>
      <w:r>
        <w:rPr>
          <w:spacing w:val="-5"/>
        </w:rPr>
        <w:t> </w:t>
      </w:r>
      <w:r>
        <w:rPr/>
        <w:t>31,</w:t>
      </w:r>
      <w:r>
        <w:rPr>
          <w:spacing w:val="-4"/>
        </w:rPr>
        <w:t> </w:t>
      </w:r>
      <w:r>
        <w:rPr/>
        <w:t>2020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approximately</w:t>
      </w:r>
      <w:r>
        <w:rPr>
          <w:spacing w:val="-4"/>
        </w:rPr>
        <w:t> </w:t>
      </w:r>
      <w:r>
        <w:rPr/>
        <w:t>1%</w:t>
      </w:r>
      <w:r>
        <w:rPr>
          <w:spacing w:val="-4"/>
        </w:rPr>
        <w:t> </w:t>
      </w:r>
      <w:r>
        <w:rPr/>
        <w:t>below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Normalized</w:t>
      </w:r>
      <w:r>
        <w:rPr>
          <w:spacing w:val="-4"/>
        </w:rPr>
        <w:t> </w:t>
      </w:r>
      <w:r>
        <w:rPr/>
        <w:t>FFO</w:t>
      </w:r>
      <w:r>
        <w:rPr>
          <w:spacing w:val="1"/>
        </w:rPr>
        <w:t> </w:t>
      </w:r>
      <w:r>
        <w:rPr/>
        <w:t>target</w:t>
      </w:r>
      <w:r>
        <w:rPr>
          <w:spacing w:val="-6"/>
        </w:rPr>
        <w:t> </w:t>
      </w:r>
      <w:r>
        <w:rPr/>
        <w:t>range,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Committee</w:t>
      </w:r>
      <w:r>
        <w:rPr>
          <w:spacing w:val="-5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2020</w:t>
      </w:r>
      <w:r>
        <w:rPr>
          <w:spacing w:val="-5"/>
        </w:rPr>
        <w:t> </w:t>
      </w:r>
      <w:r>
        <w:rPr/>
        <w:t>performance-based</w:t>
      </w:r>
      <w:r>
        <w:rPr>
          <w:spacing w:val="-5"/>
        </w:rPr>
        <w:t> </w:t>
      </w:r>
      <w:r>
        <w:rPr/>
        <w:t>vesting</w:t>
      </w:r>
      <w:r>
        <w:rPr>
          <w:spacing w:val="-6"/>
        </w:rPr>
        <w:t> </w:t>
      </w:r>
      <w:r>
        <w:rPr/>
        <w:t>condition</w:t>
      </w:r>
      <w:r>
        <w:rPr>
          <w:spacing w:val="-5"/>
        </w:rPr>
        <w:t> </w:t>
      </w:r>
      <w:r>
        <w:rPr/>
        <w:t>had</w:t>
      </w:r>
      <w:r>
        <w:rPr>
          <w:spacing w:val="-5"/>
        </w:rPr>
        <w:t> </w:t>
      </w:r>
      <w:r>
        <w:rPr/>
        <w:t>been</w:t>
      </w:r>
      <w:r>
        <w:rPr>
          <w:spacing w:val="-6"/>
        </w:rPr>
        <w:t> </w:t>
      </w:r>
      <w:r>
        <w:rPr/>
        <w:t>partially</w:t>
      </w:r>
      <w:r>
        <w:rPr>
          <w:spacing w:val="1"/>
        </w:rPr>
        <w:t> </w:t>
      </w:r>
      <w:r>
        <w:rPr>
          <w:spacing w:val="-1"/>
        </w:rPr>
        <w:t>achieved such that </w:t>
      </w:r>
      <w:r>
        <w:rPr/>
        <w:t>a portion of the Restricted Stock Awards scheduled to vest on January 29, 2021 would partially</w:t>
      </w:r>
      <w:r>
        <w:rPr>
          <w:spacing w:val="-53"/>
        </w:rPr>
        <w:t> </w:t>
      </w:r>
      <w:r>
        <w:rPr/>
        <w:t>vest as shown in the following table.</w:t>
      </w:r>
      <w:r>
        <w:rPr>
          <w:spacing w:val="1"/>
        </w:rPr>
        <w:t> </w:t>
      </w:r>
      <w:r>
        <w:rPr/>
        <w:t>The remainder of the Restricted Stock Awards subject to the 2020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did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vest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forfeited.</w:t>
      </w:r>
    </w:p>
    <w:p>
      <w:pPr>
        <w:pStyle w:val="BodyText"/>
        <w:spacing w:before="8"/>
        <w:rPr>
          <w:sz w:val="19"/>
        </w:rPr>
      </w:pPr>
    </w:p>
    <w:p>
      <w:pPr>
        <w:spacing w:before="0" w:after="30"/>
        <w:ind w:left="4640" w:right="0" w:firstLine="0"/>
        <w:jc w:val="left"/>
        <w:rPr>
          <w:b/>
          <w:sz w:val="16"/>
        </w:rPr>
      </w:pPr>
      <w:r>
        <w:rPr>
          <w:b/>
          <w:sz w:val="16"/>
        </w:rPr>
        <w:t>#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Shares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Vested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2020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Performance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Period</w:t>
      </w:r>
    </w:p>
    <w:tbl>
      <w:tblPr>
        <w:tblW w:w="0" w:type="auto"/>
        <w:jc w:val="left"/>
        <w:tblInd w:w="2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1420"/>
        <w:gridCol w:w="1215"/>
        <w:gridCol w:w="1100"/>
      </w:tblGrid>
      <w:tr>
        <w:trPr>
          <w:trHeight w:val="295" w:hRule="atLeast"/>
        </w:trPr>
        <w:tc>
          <w:tcPr>
            <w:tcW w:w="201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539E"/>
              <w:bottom w:val="single" w:sz="8" w:space="0" w:color="00539E"/>
            </w:tcBorders>
          </w:tcPr>
          <w:p>
            <w:pPr>
              <w:pStyle w:val="TableParagraph"/>
              <w:spacing w:before="91"/>
              <w:ind w:left="2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2018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</w:tc>
        <w:tc>
          <w:tcPr>
            <w:tcW w:w="1215" w:type="dxa"/>
            <w:tcBorders>
              <w:top w:val="single" w:sz="8" w:space="0" w:color="00539E"/>
              <w:bottom w:val="single" w:sz="8" w:space="0" w:color="00539E"/>
            </w:tcBorders>
          </w:tcPr>
          <w:p>
            <w:pPr>
              <w:pStyle w:val="TableParagraph"/>
              <w:spacing w:before="91"/>
              <w:ind w:left="1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2019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</w:tc>
        <w:tc>
          <w:tcPr>
            <w:tcW w:w="1100" w:type="dxa"/>
            <w:tcBorders>
              <w:top w:val="single" w:sz="8" w:space="0" w:color="00539E"/>
              <w:bottom w:val="single" w:sz="8" w:space="0" w:color="00539E"/>
            </w:tcBorders>
          </w:tcPr>
          <w:p>
            <w:pPr>
              <w:pStyle w:val="TableParagraph"/>
              <w:spacing w:before="91"/>
              <w:ind w:left="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2020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</w:tc>
      </w:tr>
      <w:tr>
        <w:trPr>
          <w:trHeight w:val="295" w:hRule="atLeast"/>
        </w:trPr>
        <w:tc>
          <w:tcPr>
            <w:tcW w:w="2010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1420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121"/>
              <w:rPr>
                <w:sz w:val="16"/>
              </w:rPr>
            </w:pPr>
            <w:r>
              <w:rPr>
                <w:sz w:val="16"/>
              </w:rPr>
              <w:t>6,305</w:t>
            </w:r>
          </w:p>
        </w:tc>
        <w:tc>
          <w:tcPr>
            <w:tcW w:w="1215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91"/>
              <w:rPr>
                <w:sz w:val="16"/>
              </w:rPr>
            </w:pPr>
            <w:r>
              <w:rPr>
                <w:sz w:val="16"/>
              </w:rPr>
              <w:t>5,335</w:t>
            </w:r>
          </w:p>
        </w:tc>
        <w:tc>
          <w:tcPr>
            <w:tcW w:w="1100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4,002</w:t>
            </w:r>
          </w:p>
        </w:tc>
      </w:tr>
      <w:tr>
        <w:trPr>
          <w:trHeight w:val="295" w:hRule="atLeast"/>
        </w:trPr>
        <w:tc>
          <w:tcPr>
            <w:tcW w:w="20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14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121"/>
              <w:rPr>
                <w:sz w:val="16"/>
              </w:rPr>
            </w:pPr>
            <w:r>
              <w:rPr>
                <w:sz w:val="16"/>
              </w:rPr>
              <w:t>5,174</w:t>
            </w:r>
          </w:p>
        </w:tc>
        <w:tc>
          <w:tcPr>
            <w:tcW w:w="121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91"/>
              <w:rPr>
                <w:sz w:val="16"/>
              </w:rPr>
            </w:pPr>
            <w:r>
              <w:rPr>
                <w:sz w:val="16"/>
              </w:rPr>
              <w:t>4,398</w:t>
            </w:r>
          </w:p>
        </w:tc>
        <w:tc>
          <w:tcPr>
            <w:tcW w:w="110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3,162</w:t>
            </w:r>
          </w:p>
        </w:tc>
      </w:tr>
      <w:tr>
        <w:trPr>
          <w:trHeight w:val="295" w:hRule="atLeast"/>
        </w:trPr>
        <w:tc>
          <w:tcPr>
            <w:tcW w:w="20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14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121"/>
              <w:rPr>
                <w:sz w:val="16"/>
              </w:rPr>
            </w:pPr>
            <w:r>
              <w:rPr>
                <w:sz w:val="16"/>
              </w:rPr>
              <w:t>5,174</w:t>
            </w:r>
          </w:p>
        </w:tc>
        <w:tc>
          <w:tcPr>
            <w:tcW w:w="121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91"/>
              <w:rPr>
                <w:sz w:val="16"/>
              </w:rPr>
            </w:pPr>
            <w:r>
              <w:rPr>
                <w:sz w:val="16"/>
              </w:rPr>
              <w:t>4,398</w:t>
            </w:r>
          </w:p>
        </w:tc>
        <w:tc>
          <w:tcPr>
            <w:tcW w:w="110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3,162</w:t>
            </w:r>
          </w:p>
        </w:tc>
      </w:tr>
      <w:tr>
        <w:trPr>
          <w:trHeight w:val="295" w:hRule="atLeast"/>
        </w:trPr>
        <w:tc>
          <w:tcPr>
            <w:tcW w:w="20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Maynard</w:t>
            </w:r>
          </w:p>
        </w:tc>
        <w:tc>
          <w:tcPr>
            <w:tcW w:w="14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121"/>
              <w:rPr>
                <w:sz w:val="16"/>
              </w:rPr>
            </w:pPr>
            <w:r>
              <w:rPr>
                <w:sz w:val="16"/>
              </w:rPr>
              <w:t>2,829</w:t>
            </w:r>
          </w:p>
        </w:tc>
        <w:tc>
          <w:tcPr>
            <w:tcW w:w="121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91"/>
              <w:rPr>
                <w:sz w:val="16"/>
              </w:rPr>
            </w:pPr>
            <w:r>
              <w:rPr>
                <w:sz w:val="16"/>
              </w:rPr>
              <w:t>2,425</w:t>
            </w:r>
          </w:p>
        </w:tc>
        <w:tc>
          <w:tcPr>
            <w:tcW w:w="110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1,744</w:t>
            </w:r>
          </w:p>
        </w:tc>
      </w:tr>
    </w:tbl>
    <w:p>
      <w:pPr>
        <w:pStyle w:val="BodyText"/>
        <w:rPr>
          <w:b/>
          <w:sz w:val="18"/>
        </w:rPr>
      </w:pPr>
    </w:p>
    <w:p>
      <w:pPr>
        <w:pStyle w:val="BodyText"/>
        <w:spacing w:before="3"/>
        <w:rPr>
          <w:b/>
          <w:sz w:val="25"/>
        </w:rPr>
      </w:pPr>
    </w:p>
    <w:p>
      <w:pPr>
        <w:pStyle w:val="BodyText"/>
        <w:spacing w:line="249" w:lineRule="auto"/>
        <w:ind w:left="250" w:right="730"/>
      </w:pPr>
      <w:r>
        <w:rPr>
          <w:b/>
        </w:rPr>
        <w:t>2021 Performance Conditions:</w:t>
      </w:r>
      <w:r>
        <w:rPr>
          <w:b/>
          <w:spacing w:val="1"/>
        </w:rPr>
        <w:t> </w:t>
      </w:r>
      <w:r>
        <w:rPr/>
        <w:t>Effective February 9, 2021, the Compensation Committee established the</w:t>
      </w:r>
      <w:r>
        <w:rPr>
          <w:spacing w:val="1"/>
        </w:rPr>
        <w:t> </w:t>
      </w:r>
      <w:r>
        <w:rPr>
          <w:spacing w:val="-1"/>
        </w:rPr>
        <w:t>following performance condition for the </w:t>
      </w:r>
      <w:r>
        <w:rPr/>
        <w:t>performance-based portion of the 2019 Awards, 2020 Awards and 2021</w:t>
      </w:r>
      <w:r>
        <w:rPr>
          <w:spacing w:val="-53"/>
        </w:rPr>
        <w:t> </w:t>
      </w:r>
      <w:r>
        <w:rPr/>
        <w:t>Awards</w:t>
      </w:r>
      <w:r>
        <w:rPr>
          <w:spacing w:val="-3"/>
        </w:rPr>
        <w:t> </w:t>
      </w:r>
      <w:r>
        <w:rPr/>
        <w:t>with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period</w:t>
      </w:r>
      <w:r>
        <w:rPr>
          <w:spacing w:val="-2"/>
        </w:rPr>
        <w:t> </w:t>
      </w:r>
      <w:r>
        <w:rPr/>
        <w:t>January</w:t>
      </w:r>
      <w:r>
        <w:rPr>
          <w:spacing w:val="-2"/>
        </w:rPr>
        <w:t> </w:t>
      </w:r>
      <w:r>
        <w:rPr/>
        <w:t>1,</w:t>
      </w:r>
      <w:r>
        <w:rPr>
          <w:spacing w:val="-2"/>
        </w:rPr>
        <w:t> </w:t>
      </w:r>
      <w:r>
        <w:rPr/>
        <w:t>2021</w:t>
      </w:r>
      <w:r>
        <w:rPr>
          <w:spacing w:val="-2"/>
        </w:rPr>
        <w:t> </w:t>
      </w:r>
      <w:r>
        <w:rPr/>
        <w:t>through</w:t>
      </w:r>
      <w:r>
        <w:rPr>
          <w:spacing w:val="-2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31,</w:t>
      </w:r>
      <w:r>
        <w:rPr>
          <w:spacing w:val="-2"/>
        </w:rPr>
        <w:t> </w:t>
      </w:r>
      <w:r>
        <w:rPr/>
        <w:t>2021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follows:</w:t>
      </w:r>
    </w:p>
    <w:p>
      <w:pPr>
        <w:pStyle w:val="Heading5"/>
        <w:spacing w:line="249" w:lineRule="auto" w:before="103"/>
        <w:ind w:left="3216" w:right="770" w:hanging="1592"/>
      </w:pPr>
      <w:r>
        <w:rPr>
          <w:color w:val="00539E"/>
        </w:rPr>
        <w:t>"Achieve</w:t>
      </w:r>
      <w:r>
        <w:rPr>
          <w:color w:val="00539E"/>
          <w:spacing w:val="-5"/>
        </w:rPr>
        <w:t> </w:t>
      </w:r>
      <w:r>
        <w:rPr>
          <w:color w:val="00539E"/>
        </w:rPr>
        <w:t>Normalized</w:t>
      </w:r>
      <w:r>
        <w:rPr>
          <w:color w:val="00539E"/>
          <w:spacing w:val="-5"/>
        </w:rPr>
        <w:t> </w:t>
      </w:r>
      <w:r>
        <w:rPr>
          <w:color w:val="00539E"/>
        </w:rPr>
        <w:t>FFO</w:t>
      </w:r>
      <w:r>
        <w:rPr>
          <w:color w:val="00539E"/>
          <w:spacing w:val="-5"/>
        </w:rPr>
        <w:t> </w:t>
      </w:r>
      <w:r>
        <w:rPr>
          <w:color w:val="00539E"/>
        </w:rPr>
        <w:t>per</w:t>
      </w:r>
      <w:r>
        <w:rPr>
          <w:color w:val="00539E"/>
          <w:spacing w:val="-5"/>
        </w:rPr>
        <w:t> </w:t>
      </w:r>
      <w:r>
        <w:rPr>
          <w:color w:val="00539E"/>
        </w:rPr>
        <w:t>Common</w:t>
      </w:r>
      <w:r>
        <w:rPr>
          <w:color w:val="00539E"/>
          <w:spacing w:val="-5"/>
        </w:rPr>
        <w:t> </w:t>
      </w:r>
      <w:r>
        <w:rPr>
          <w:color w:val="00539E"/>
        </w:rPr>
        <w:t>Share</w:t>
      </w:r>
      <w:r>
        <w:rPr>
          <w:color w:val="00539E"/>
          <w:spacing w:val="-5"/>
        </w:rPr>
        <w:t> </w:t>
      </w:r>
      <w:r>
        <w:rPr>
          <w:color w:val="00539E"/>
        </w:rPr>
        <w:t>(fully</w:t>
      </w:r>
      <w:r>
        <w:rPr>
          <w:color w:val="00539E"/>
          <w:spacing w:val="-5"/>
        </w:rPr>
        <w:t> </w:t>
      </w:r>
      <w:r>
        <w:rPr>
          <w:color w:val="00539E"/>
        </w:rPr>
        <w:t>diluted)</w:t>
      </w:r>
      <w:r>
        <w:rPr>
          <w:color w:val="00539E"/>
          <w:spacing w:val="-5"/>
        </w:rPr>
        <w:t> </w:t>
      </w:r>
      <w:r>
        <w:rPr>
          <w:color w:val="00539E"/>
        </w:rPr>
        <w:t>for</w:t>
      </w:r>
      <w:r>
        <w:rPr>
          <w:color w:val="00539E"/>
          <w:spacing w:val="-5"/>
        </w:rPr>
        <w:t> </w:t>
      </w:r>
      <w:r>
        <w:rPr>
          <w:color w:val="00539E"/>
        </w:rPr>
        <w:t>the</w:t>
      </w:r>
      <w:r>
        <w:rPr>
          <w:color w:val="00539E"/>
          <w:spacing w:val="-5"/>
        </w:rPr>
        <w:t> </w:t>
      </w:r>
      <w:r>
        <w:rPr>
          <w:color w:val="00539E"/>
        </w:rPr>
        <w:t>year</w:t>
      </w:r>
      <w:r>
        <w:rPr>
          <w:color w:val="00539E"/>
          <w:spacing w:val="-5"/>
        </w:rPr>
        <w:t> </w:t>
      </w:r>
      <w:r>
        <w:rPr>
          <w:color w:val="00539E"/>
        </w:rPr>
        <w:t>ending</w:t>
      </w:r>
      <w:r>
        <w:rPr>
          <w:color w:val="00539E"/>
          <w:spacing w:val="-52"/>
        </w:rPr>
        <w:t> </w:t>
      </w:r>
      <w:r>
        <w:rPr>
          <w:color w:val="00539E"/>
        </w:rPr>
        <w:t>December</w:t>
      </w:r>
      <w:r>
        <w:rPr>
          <w:color w:val="00539E"/>
          <w:spacing w:val="-2"/>
        </w:rPr>
        <w:t> </w:t>
      </w:r>
      <w:r>
        <w:rPr>
          <w:color w:val="00539E"/>
        </w:rPr>
        <w:t>31,</w:t>
      </w:r>
      <w:r>
        <w:rPr>
          <w:color w:val="00539E"/>
          <w:spacing w:val="-2"/>
        </w:rPr>
        <w:t> </w:t>
      </w:r>
      <w:r>
        <w:rPr>
          <w:color w:val="00539E"/>
        </w:rPr>
        <w:t>2021</w:t>
      </w:r>
      <w:r>
        <w:rPr>
          <w:color w:val="00539E"/>
          <w:spacing w:val="-2"/>
        </w:rPr>
        <w:t> </w:t>
      </w:r>
      <w:r>
        <w:rPr>
          <w:color w:val="00539E"/>
        </w:rPr>
        <w:t>between</w:t>
      </w:r>
      <w:r>
        <w:rPr>
          <w:color w:val="00539E"/>
          <w:spacing w:val="-2"/>
        </w:rPr>
        <w:t> </w:t>
      </w:r>
      <w:r>
        <w:rPr>
          <w:color w:val="00539E"/>
        </w:rPr>
        <w:t>$2.26</w:t>
      </w:r>
      <w:r>
        <w:rPr>
          <w:color w:val="00539E"/>
          <w:spacing w:val="-2"/>
        </w:rPr>
        <w:t> </w:t>
      </w:r>
      <w:r>
        <w:rPr>
          <w:color w:val="00539E"/>
        </w:rPr>
        <w:t>and</w:t>
      </w:r>
      <w:r>
        <w:rPr>
          <w:color w:val="00539E"/>
          <w:spacing w:val="-1"/>
        </w:rPr>
        <w:t> </w:t>
      </w:r>
      <w:r>
        <w:rPr>
          <w:color w:val="00539E"/>
        </w:rPr>
        <w:t>$2.36."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49" w:lineRule="auto"/>
        <w:ind w:left="250" w:right="282"/>
      </w:pPr>
      <w:r>
        <w:rPr>
          <w:spacing w:val="-1"/>
        </w:rPr>
        <w:t>As</w:t>
      </w:r>
      <w:r>
        <w:rPr>
          <w:spacing w:val="-4"/>
        </w:rPr>
        <w:t> </w:t>
      </w:r>
      <w:r>
        <w:rPr>
          <w:spacing w:val="-1"/>
        </w:rPr>
        <w:t>such,</w:t>
      </w:r>
      <w:r>
        <w:rPr>
          <w:spacing w:val="-3"/>
        </w:rPr>
        <w:t> </w:t>
      </w:r>
      <w:r>
        <w:rPr>
          <w:spacing w:val="-1"/>
        </w:rPr>
        <w:t>this</w:t>
      </w:r>
      <w:r>
        <w:rPr>
          <w:spacing w:val="-3"/>
        </w:rPr>
        <w:t> </w:t>
      </w:r>
      <w:r>
        <w:rPr>
          <w:spacing w:val="-1"/>
        </w:rPr>
        <w:t>portion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/>
        <w:t>2019</w:t>
      </w:r>
      <w:r>
        <w:rPr>
          <w:spacing w:val="-14"/>
        </w:rPr>
        <w:t> </w:t>
      </w:r>
      <w:r>
        <w:rPr/>
        <w:t>Awards,</w:t>
      </w:r>
      <w:r>
        <w:rPr>
          <w:spacing w:val="-3"/>
        </w:rPr>
        <w:t> </w:t>
      </w:r>
      <w:r>
        <w:rPr/>
        <w:t>2020</w:t>
      </w:r>
      <w:r>
        <w:rPr>
          <w:spacing w:val="-14"/>
        </w:rPr>
        <w:t> </w:t>
      </w:r>
      <w:r>
        <w:rPr/>
        <w:t>Awards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2021</w:t>
      </w:r>
      <w:r>
        <w:rPr>
          <w:spacing w:val="-14"/>
        </w:rPr>
        <w:t> </w:t>
      </w:r>
      <w:r>
        <w:rPr/>
        <w:t>Awards</w:t>
      </w:r>
      <w:r>
        <w:rPr>
          <w:spacing w:val="-3"/>
        </w:rPr>
        <w:t> </w:t>
      </w:r>
      <w:r>
        <w:rPr/>
        <w:t>was</w:t>
      </w:r>
      <w:r>
        <w:rPr>
          <w:spacing w:val="-3"/>
        </w:rPr>
        <w:t> </w:t>
      </w:r>
      <w:r>
        <w:rPr/>
        <w:t>deemed</w:t>
      </w:r>
      <w:r>
        <w:rPr>
          <w:spacing w:val="-4"/>
        </w:rPr>
        <w:t> </w:t>
      </w:r>
      <w:r>
        <w:rPr/>
        <w:t>granted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February</w:t>
      </w:r>
      <w:r>
        <w:rPr>
          <w:spacing w:val="-3"/>
        </w:rPr>
        <w:t> </w:t>
      </w:r>
      <w:r>
        <w:rPr/>
        <w:t>9,</w:t>
      </w:r>
      <w:r>
        <w:rPr>
          <w:spacing w:val="-4"/>
        </w:rPr>
        <w:t> </w:t>
      </w:r>
      <w:r>
        <w:rPr/>
        <w:t>2021</w:t>
      </w:r>
      <w:r>
        <w:rPr>
          <w:spacing w:val="1"/>
        </w:rPr>
        <w:t> </w:t>
      </w:r>
      <w:r>
        <w:rPr/>
        <w:t>with a Grant Date Fair Value of $63.78 per share. On January 13, 2022, the Compensation Committee determined</w:t>
      </w:r>
      <w:r>
        <w:rPr>
          <w:spacing w:val="1"/>
        </w:rPr>
        <w:t> </w:t>
      </w:r>
      <w:r>
        <w:rPr>
          <w:spacing w:val="-1"/>
        </w:rPr>
        <w:t>that such </w:t>
      </w:r>
      <w:r>
        <w:rPr/>
        <w:t>vesting criteria had been met and all of this portion of the 2019 Awards, 2020 Awards and 2021 Awards</w:t>
      </w:r>
      <w:r>
        <w:rPr>
          <w:spacing w:val="1"/>
        </w:rPr>
        <w:t> </w:t>
      </w:r>
      <w:r>
        <w:rPr/>
        <w:t>vested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January</w:t>
      </w:r>
      <w:r>
        <w:rPr>
          <w:spacing w:val="-1"/>
        </w:rPr>
        <w:t> </w:t>
      </w:r>
      <w:r>
        <w:rPr/>
        <w:t>31,</w:t>
      </w:r>
      <w:r>
        <w:rPr>
          <w:spacing w:val="-1"/>
        </w:rPr>
        <w:t> </w:t>
      </w:r>
      <w:r>
        <w:rPr/>
        <w:t>2022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1"/>
        <w:rPr>
          <w:sz w:val="30"/>
        </w:rPr>
      </w:pPr>
    </w:p>
    <w:p>
      <w:pPr>
        <w:spacing w:before="0" w:after="30"/>
        <w:ind w:left="4640" w:right="0" w:firstLine="0"/>
        <w:jc w:val="left"/>
        <w:rPr>
          <w:b/>
          <w:sz w:val="16"/>
        </w:rPr>
      </w:pPr>
      <w:r>
        <w:rPr>
          <w:b/>
          <w:sz w:val="16"/>
        </w:rPr>
        <w:t>#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Shares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Vested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-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2021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Performance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Period</w:t>
      </w:r>
    </w:p>
    <w:tbl>
      <w:tblPr>
        <w:tblW w:w="0" w:type="auto"/>
        <w:jc w:val="left"/>
        <w:tblInd w:w="25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0"/>
        <w:gridCol w:w="1420"/>
        <w:gridCol w:w="1215"/>
        <w:gridCol w:w="1100"/>
      </w:tblGrid>
      <w:tr>
        <w:trPr>
          <w:trHeight w:val="295" w:hRule="atLeast"/>
        </w:trPr>
        <w:tc>
          <w:tcPr>
            <w:tcW w:w="201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539E"/>
              <w:bottom w:val="single" w:sz="8" w:space="0" w:color="00539E"/>
            </w:tcBorders>
          </w:tcPr>
          <w:p>
            <w:pPr>
              <w:pStyle w:val="TableParagraph"/>
              <w:spacing w:before="91"/>
              <w:ind w:left="23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2019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</w:tc>
        <w:tc>
          <w:tcPr>
            <w:tcW w:w="1215" w:type="dxa"/>
            <w:tcBorders>
              <w:top w:val="single" w:sz="8" w:space="0" w:color="00539E"/>
              <w:bottom w:val="single" w:sz="8" w:space="0" w:color="00539E"/>
            </w:tcBorders>
          </w:tcPr>
          <w:p>
            <w:pPr>
              <w:pStyle w:val="TableParagraph"/>
              <w:spacing w:before="91"/>
              <w:ind w:left="1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2020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</w:tc>
        <w:tc>
          <w:tcPr>
            <w:tcW w:w="1100" w:type="dxa"/>
            <w:tcBorders>
              <w:top w:val="single" w:sz="8" w:space="0" w:color="00539E"/>
              <w:bottom w:val="single" w:sz="8" w:space="0" w:color="00539E"/>
            </w:tcBorders>
          </w:tcPr>
          <w:p>
            <w:pPr>
              <w:pStyle w:val="TableParagraph"/>
              <w:spacing w:before="91"/>
              <w:ind w:left="9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2021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</w:tc>
      </w:tr>
      <w:tr>
        <w:trPr>
          <w:trHeight w:val="295" w:hRule="atLeast"/>
        </w:trPr>
        <w:tc>
          <w:tcPr>
            <w:tcW w:w="2010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1420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121"/>
              <w:rPr>
                <w:sz w:val="16"/>
              </w:rPr>
            </w:pPr>
            <w:r>
              <w:rPr>
                <w:sz w:val="16"/>
              </w:rPr>
              <w:t>5,500</w:t>
            </w:r>
          </w:p>
        </w:tc>
        <w:tc>
          <w:tcPr>
            <w:tcW w:w="1215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91"/>
              <w:rPr>
                <w:sz w:val="16"/>
              </w:rPr>
            </w:pPr>
            <w:r>
              <w:rPr>
                <w:sz w:val="16"/>
              </w:rPr>
              <w:t>4,126</w:t>
            </w:r>
          </w:p>
        </w:tc>
        <w:tc>
          <w:tcPr>
            <w:tcW w:w="1100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4,752</w:t>
            </w:r>
          </w:p>
        </w:tc>
      </w:tr>
      <w:tr>
        <w:trPr>
          <w:trHeight w:val="295" w:hRule="atLeast"/>
        </w:trPr>
        <w:tc>
          <w:tcPr>
            <w:tcW w:w="20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14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121"/>
              <w:rPr>
                <w:sz w:val="16"/>
              </w:rPr>
            </w:pPr>
            <w:r>
              <w:rPr>
                <w:sz w:val="16"/>
              </w:rPr>
              <w:t>4,534</w:t>
            </w:r>
          </w:p>
        </w:tc>
        <w:tc>
          <w:tcPr>
            <w:tcW w:w="121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91"/>
              <w:rPr>
                <w:sz w:val="16"/>
              </w:rPr>
            </w:pPr>
            <w:r>
              <w:rPr>
                <w:sz w:val="16"/>
              </w:rPr>
              <w:t>3,261</w:t>
            </w:r>
          </w:p>
        </w:tc>
        <w:tc>
          <w:tcPr>
            <w:tcW w:w="110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3,755</w:t>
            </w:r>
          </w:p>
        </w:tc>
      </w:tr>
      <w:tr>
        <w:trPr>
          <w:trHeight w:val="295" w:hRule="atLeast"/>
        </w:trPr>
        <w:tc>
          <w:tcPr>
            <w:tcW w:w="20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14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121"/>
              <w:rPr>
                <w:sz w:val="16"/>
              </w:rPr>
            </w:pPr>
            <w:r>
              <w:rPr>
                <w:sz w:val="16"/>
              </w:rPr>
              <w:t>4,534</w:t>
            </w:r>
          </w:p>
        </w:tc>
        <w:tc>
          <w:tcPr>
            <w:tcW w:w="121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91"/>
              <w:rPr>
                <w:sz w:val="16"/>
              </w:rPr>
            </w:pPr>
            <w:r>
              <w:rPr>
                <w:sz w:val="16"/>
              </w:rPr>
              <w:t>3,261</w:t>
            </w:r>
          </w:p>
        </w:tc>
        <w:tc>
          <w:tcPr>
            <w:tcW w:w="110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3,755</w:t>
            </w:r>
          </w:p>
        </w:tc>
      </w:tr>
      <w:tr>
        <w:trPr>
          <w:trHeight w:val="295" w:hRule="atLeast"/>
        </w:trPr>
        <w:tc>
          <w:tcPr>
            <w:tcW w:w="20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Roger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Maynard</w:t>
            </w:r>
          </w:p>
        </w:tc>
        <w:tc>
          <w:tcPr>
            <w:tcW w:w="14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121"/>
              <w:rPr>
                <w:sz w:val="16"/>
              </w:rPr>
            </w:pPr>
            <w:r>
              <w:rPr>
                <w:sz w:val="16"/>
              </w:rPr>
              <w:t>2,500</w:t>
            </w:r>
          </w:p>
        </w:tc>
        <w:tc>
          <w:tcPr>
            <w:tcW w:w="121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91"/>
              <w:rPr>
                <w:sz w:val="16"/>
              </w:rPr>
            </w:pPr>
            <w:r>
              <w:rPr>
                <w:sz w:val="16"/>
              </w:rPr>
              <w:t>1,798</w:t>
            </w:r>
          </w:p>
        </w:tc>
        <w:tc>
          <w:tcPr>
            <w:tcW w:w="110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2,071</w:t>
            </w:r>
          </w:p>
        </w:tc>
      </w:tr>
      <w:tr>
        <w:trPr>
          <w:trHeight w:val="295" w:hRule="atLeast"/>
        </w:trPr>
        <w:tc>
          <w:tcPr>
            <w:tcW w:w="201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Eldersveld</w:t>
            </w:r>
          </w:p>
        </w:tc>
        <w:tc>
          <w:tcPr>
            <w:tcW w:w="142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121"/>
              <w:rPr>
                <w:sz w:val="16"/>
              </w:rPr>
            </w:pPr>
            <w:r>
              <w:rPr>
                <w:sz w:val="16"/>
              </w:rPr>
              <w:t>2,334</w:t>
            </w:r>
          </w:p>
        </w:tc>
        <w:tc>
          <w:tcPr>
            <w:tcW w:w="121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91"/>
              <w:rPr>
                <w:sz w:val="16"/>
              </w:rPr>
            </w:pPr>
            <w:r>
              <w:rPr>
                <w:sz w:val="16"/>
              </w:rPr>
              <w:t>1,991</w:t>
            </w:r>
          </w:p>
        </w:tc>
        <w:tc>
          <w:tcPr>
            <w:tcW w:w="110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before="91"/>
              <w:ind w:right="66"/>
              <w:rPr>
                <w:sz w:val="16"/>
              </w:rPr>
            </w:pPr>
            <w:r>
              <w:rPr>
                <w:sz w:val="16"/>
              </w:rPr>
              <w:t>2,293</w:t>
            </w:r>
          </w:p>
        </w:tc>
      </w:tr>
    </w:tbl>
    <w:p>
      <w:pPr>
        <w:spacing w:after="0"/>
        <w:rPr>
          <w:sz w:val="16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250" w:right="371"/>
      </w:pPr>
      <w:r>
        <w:rPr>
          <w:b/>
        </w:rPr>
        <w:t>2022 and 2023 Performance Conditions: </w:t>
      </w:r>
      <w:r>
        <w:rPr/>
        <w:t>Effective February 8, 2022, the Compensation Committee established</w:t>
      </w:r>
      <w:r>
        <w:rPr>
          <w:spacing w:val="1"/>
        </w:rPr>
        <w:t> </w:t>
      </w:r>
      <w:r>
        <w:rPr>
          <w:spacing w:val="-1"/>
        </w:rPr>
        <w:t>the following performance condition </w:t>
      </w:r>
      <w:r>
        <w:rPr/>
        <w:t>for the performance-based portion of the 2020 Awards and 2021 Awards with a</w:t>
      </w:r>
      <w:r>
        <w:rPr>
          <w:spacing w:val="-54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period</w:t>
      </w:r>
      <w:r>
        <w:rPr>
          <w:spacing w:val="-2"/>
        </w:rPr>
        <w:t> </w:t>
      </w:r>
      <w:r>
        <w:rPr/>
        <w:t>January</w:t>
      </w:r>
      <w:r>
        <w:rPr>
          <w:spacing w:val="-1"/>
        </w:rPr>
        <w:t> </w:t>
      </w:r>
      <w:r>
        <w:rPr/>
        <w:t>1,</w:t>
      </w:r>
      <w:r>
        <w:rPr>
          <w:spacing w:val="-2"/>
        </w:rPr>
        <w:t> </w:t>
      </w:r>
      <w:r>
        <w:rPr/>
        <w:t>2022</w:t>
      </w:r>
      <w:r>
        <w:rPr>
          <w:spacing w:val="-1"/>
        </w:rPr>
        <w:t> </w:t>
      </w:r>
      <w:r>
        <w:rPr/>
        <w:t>through</w:t>
      </w:r>
      <w:r>
        <w:rPr>
          <w:spacing w:val="-2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31,</w:t>
      </w:r>
      <w:r>
        <w:rPr>
          <w:spacing w:val="-2"/>
        </w:rPr>
        <w:t> </w:t>
      </w:r>
      <w:r>
        <w:rPr/>
        <w:t>2022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follows:</w:t>
      </w:r>
    </w:p>
    <w:p>
      <w:pPr>
        <w:pStyle w:val="BodyText"/>
        <w:spacing w:before="6"/>
        <w:rPr>
          <w:sz w:val="17"/>
        </w:rPr>
      </w:pPr>
    </w:p>
    <w:p>
      <w:pPr>
        <w:pStyle w:val="Heading5"/>
        <w:spacing w:line="249" w:lineRule="auto" w:before="1"/>
        <w:ind w:left="3216" w:right="770" w:hanging="1592"/>
      </w:pPr>
      <w:r>
        <w:rPr>
          <w:color w:val="00539E"/>
        </w:rPr>
        <w:t>"Achieve</w:t>
      </w:r>
      <w:r>
        <w:rPr>
          <w:color w:val="00539E"/>
          <w:spacing w:val="-5"/>
        </w:rPr>
        <w:t> </w:t>
      </w:r>
      <w:r>
        <w:rPr>
          <w:color w:val="00539E"/>
        </w:rPr>
        <w:t>Normalized</w:t>
      </w:r>
      <w:r>
        <w:rPr>
          <w:color w:val="00539E"/>
          <w:spacing w:val="-5"/>
        </w:rPr>
        <w:t> </w:t>
      </w:r>
      <w:r>
        <w:rPr>
          <w:color w:val="00539E"/>
        </w:rPr>
        <w:t>FFO</w:t>
      </w:r>
      <w:r>
        <w:rPr>
          <w:color w:val="00539E"/>
          <w:spacing w:val="-5"/>
        </w:rPr>
        <w:t> </w:t>
      </w:r>
      <w:r>
        <w:rPr>
          <w:color w:val="00539E"/>
        </w:rPr>
        <w:t>per</w:t>
      </w:r>
      <w:r>
        <w:rPr>
          <w:color w:val="00539E"/>
          <w:spacing w:val="-5"/>
        </w:rPr>
        <w:t> </w:t>
      </w:r>
      <w:r>
        <w:rPr>
          <w:color w:val="00539E"/>
        </w:rPr>
        <w:t>Common</w:t>
      </w:r>
      <w:r>
        <w:rPr>
          <w:color w:val="00539E"/>
          <w:spacing w:val="-5"/>
        </w:rPr>
        <w:t> </w:t>
      </w:r>
      <w:r>
        <w:rPr>
          <w:color w:val="00539E"/>
        </w:rPr>
        <w:t>Share</w:t>
      </w:r>
      <w:r>
        <w:rPr>
          <w:color w:val="00539E"/>
          <w:spacing w:val="-5"/>
        </w:rPr>
        <w:t> </w:t>
      </w:r>
      <w:r>
        <w:rPr>
          <w:color w:val="00539E"/>
        </w:rPr>
        <w:t>(fully</w:t>
      </w:r>
      <w:r>
        <w:rPr>
          <w:color w:val="00539E"/>
          <w:spacing w:val="-5"/>
        </w:rPr>
        <w:t> </w:t>
      </w:r>
      <w:r>
        <w:rPr>
          <w:color w:val="00539E"/>
        </w:rPr>
        <w:t>diluted)</w:t>
      </w:r>
      <w:r>
        <w:rPr>
          <w:color w:val="00539E"/>
          <w:spacing w:val="-5"/>
        </w:rPr>
        <w:t> </w:t>
      </w:r>
      <w:r>
        <w:rPr>
          <w:color w:val="00539E"/>
        </w:rPr>
        <w:t>for</w:t>
      </w:r>
      <w:r>
        <w:rPr>
          <w:color w:val="00539E"/>
          <w:spacing w:val="-5"/>
        </w:rPr>
        <w:t> </w:t>
      </w:r>
      <w:r>
        <w:rPr>
          <w:color w:val="00539E"/>
        </w:rPr>
        <w:t>the</w:t>
      </w:r>
      <w:r>
        <w:rPr>
          <w:color w:val="00539E"/>
          <w:spacing w:val="-5"/>
        </w:rPr>
        <w:t> </w:t>
      </w:r>
      <w:r>
        <w:rPr>
          <w:color w:val="00539E"/>
        </w:rPr>
        <w:t>year</w:t>
      </w:r>
      <w:r>
        <w:rPr>
          <w:color w:val="00539E"/>
          <w:spacing w:val="-5"/>
        </w:rPr>
        <w:t> </w:t>
      </w:r>
      <w:r>
        <w:rPr>
          <w:color w:val="00539E"/>
        </w:rPr>
        <w:t>ending</w:t>
      </w:r>
      <w:r>
        <w:rPr>
          <w:color w:val="00539E"/>
          <w:spacing w:val="-52"/>
        </w:rPr>
        <w:t> </w:t>
      </w:r>
      <w:r>
        <w:rPr>
          <w:color w:val="00539E"/>
        </w:rPr>
        <w:t>December</w:t>
      </w:r>
      <w:r>
        <w:rPr>
          <w:color w:val="00539E"/>
          <w:spacing w:val="-2"/>
        </w:rPr>
        <w:t> </w:t>
      </w:r>
      <w:r>
        <w:rPr>
          <w:color w:val="00539E"/>
        </w:rPr>
        <w:t>31,</w:t>
      </w:r>
      <w:r>
        <w:rPr>
          <w:color w:val="00539E"/>
          <w:spacing w:val="-2"/>
        </w:rPr>
        <w:t> </w:t>
      </w:r>
      <w:r>
        <w:rPr>
          <w:color w:val="00539E"/>
        </w:rPr>
        <w:t>2022</w:t>
      </w:r>
      <w:r>
        <w:rPr>
          <w:color w:val="00539E"/>
          <w:spacing w:val="-2"/>
        </w:rPr>
        <w:t> </w:t>
      </w:r>
      <w:r>
        <w:rPr>
          <w:color w:val="00539E"/>
        </w:rPr>
        <w:t>between</w:t>
      </w:r>
      <w:r>
        <w:rPr>
          <w:color w:val="00539E"/>
          <w:spacing w:val="-2"/>
        </w:rPr>
        <w:t> </w:t>
      </w:r>
      <w:r>
        <w:rPr>
          <w:color w:val="00539E"/>
        </w:rPr>
        <w:t>$2.64</w:t>
      </w:r>
      <w:r>
        <w:rPr>
          <w:color w:val="00539E"/>
          <w:spacing w:val="-2"/>
        </w:rPr>
        <w:t> </w:t>
      </w:r>
      <w:r>
        <w:rPr>
          <w:color w:val="00539E"/>
        </w:rPr>
        <w:t>and</w:t>
      </w:r>
      <w:r>
        <w:rPr>
          <w:color w:val="00539E"/>
          <w:spacing w:val="-1"/>
        </w:rPr>
        <w:t> </w:t>
      </w:r>
      <w:r>
        <w:rPr>
          <w:color w:val="00539E"/>
        </w:rPr>
        <w:t>$2.74."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49" w:lineRule="auto"/>
        <w:ind w:left="250" w:right="376"/>
      </w:pPr>
      <w:r>
        <w:rPr/>
        <w:t>The Compensation Committee will establish performance conditions at the beginning of 2023 for the performance</w:t>
      </w:r>
      <w:r>
        <w:rPr>
          <w:spacing w:val="-53"/>
        </w:rPr>
        <w:t> </w:t>
      </w:r>
      <w:r>
        <w:rPr/>
        <w:t>period January 1, 2023 through December 31, 2023. If these 2022 and 2023 performance conditions are satisfied</w:t>
      </w:r>
      <w:r>
        <w:rPr>
          <w:spacing w:val="-53"/>
        </w:rPr>
        <w:t> </w:t>
      </w:r>
      <w:r>
        <w:rPr/>
        <w:t>as determined by the Compensation Committee in its discretion, the relevant portion of the performance-based</w:t>
      </w:r>
      <w:r>
        <w:rPr>
          <w:spacing w:val="1"/>
        </w:rPr>
        <w:t> </w:t>
      </w:r>
      <w:r>
        <w:rPr>
          <w:spacing w:val="-1"/>
        </w:rPr>
        <w:t>portion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2020</w:t>
      </w:r>
      <w:r>
        <w:rPr>
          <w:spacing w:val="-13"/>
        </w:rPr>
        <w:t> </w:t>
      </w:r>
      <w:r>
        <w:rPr>
          <w:spacing w:val="-1"/>
        </w:rPr>
        <w:t>Awards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2021</w:t>
      </w:r>
      <w:r>
        <w:rPr>
          <w:spacing w:val="-13"/>
        </w:rPr>
        <w:t> </w:t>
      </w:r>
      <w:r>
        <w:rPr>
          <w:spacing w:val="-1"/>
        </w:rPr>
        <w:t>Awards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vest</w:t>
      </w:r>
      <w:r>
        <w:rPr>
          <w:spacing w:val="-2"/>
        </w:rPr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1"/>
        </w:rPr>
        <w:t>January</w:t>
      </w:r>
      <w:r>
        <w:rPr>
          <w:spacing w:val="-2"/>
        </w:rPr>
        <w:t> </w:t>
      </w:r>
      <w:r>
        <w:rPr/>
        <w:t>27,</w:t>
      </w:r>
      <w:r>
        <w:rPr>
          <w:spacing w:val="-2"/>
        </w:rPr>
        <w:t> </w:t>
      </w:r>
      <w:r>
        <w:rPr/>
        <w:t>2023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January</w:t>
      </w:r>
      <w:r>
        <w:rPr>
          <w:spacing w:val="-3"/>
        </w:rPr>
        <w:t> </w:t>
      </w:r>
      <w:r>
        <w:rPr/>
        <w:t>26,</w:t>
      </w:r>
      <w:r>
        <w:rPr>
          <w:spacing w:val="-2"/>
        </w:rPr>
        <w:t> </w:t>
      </w:r>
      <w:r>
        <w:rPr/>
        <w:t>2024,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before="3"/>
        <w:rPr>
          <w:sz w:val="17"/>
        </w:rPr>
      </w:pPr>
    </w:p>
    <w:p>
      <w:pPr>
        <w:pStyle w:val="Heading3"/>
      </w:pPr>
      <w:r>
        <w:rPr>
          <w:color w:val="00539E"/>
        </w:rPr>
        <w:t>CEO</w:t>
      </w:r>
      <w:r>
        <w:rPr>
          <w:color w:val="00539E"/>
          <w:spacing w:val="-5"/>
        </w:rPr>
        <w:t> </w:t>
      </w:r>
      <w:r>
        <w:rPr>
          <w:color w:val="00539E"/>
        </w:rPr>
        <w:t>Compensation</w:t>
      </w:r>
    </w:p>
    <w:p>
      <w:pPr>
        <w:pStyle w:val="BodyText"/>
        <w:spacing w:line="249" w:lineRule="auto" w:before="216"/>
        <w:ind w:left="250" w:right="282"/>
      </w:pPr>
      <w:r>
        <w:rPr/>
        <w:t>Ms. Nader’s 2021 compensation consisted of a Base Salary of $600,000 and a performance-based Cash Bonus</w:t>
      </w:r>
      <w:r>
        <w:rPr>
          <w:spacing w:val="1"/>
        </w:rPr>
        <w:t> </w:t>
      </w:r>
      <w:r>
        <w:rPr/>
        <w:t>award of $1,700,415. During the year ended December 31, 2021, Ms. Nader acquired 31,768 shares of Restricted</w:t>
      </w:r>
      <w:r>
        <w:rPr>
          <w:spacing w:val="1"/>
        </w:rPr>
        <w:t> </w:t>
      </w:r>
      <w:r>
        <w:rPr/>
        <w:t>Common Stock upon vesting with a value of $1,953,732. The Compensation Committee established Ms. Nader’s</w:t>
      </w:r>
      <w:r>
        <w:rPr>
          <w:spacing w:val="1"/>
        </w:rPr>
        <w:t> </w:t>
      </w:r>
      <w:r>
        <w:rPr/>
        <w:t>compensation based on the principles previously discussed in this CD&amp;A. Ms. Nader received no compensation or</w:t>
      </w:r>
      <w:r>
        <w:rPr>
          <w:spacing w:val="-53"/>
        </w:rPr>
        <w:t> </w:t>
      </w:r>
      <w:r>
        <w:rPr/>
        <w:t>stock</w:t>
      </w:r>
      <w:r>
        <w:rPr>
          <w:spacing w:val="-2"/>
        </w:rPr>
        <w:t> </w:t>
      </w:r>
      <w:r>
        <w:rPr/>
        <w:t>grants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her</w:t>
      </w:r>
      <w:r>
        <w:rPr>
          <w:spacing w:val="-1"/>
        </w:rPr>
        <w:t> </w:t>
      </w:r>
      <w:r>
        <w:rPr/>
        <w:t>service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Board.</w:t>
      </w:r>
    </w:p>
    <w:p>
      <w:pPr>
        <w:pStyle w:val="BodyText"/>
        <w:spacing w:before="4"/>
        <w:rPr>
          <w:sz w:val="17"/>
        </w:rPr>
      </w:pPr>
    </w:p>
    <w:p>
      <w:pPr>
        <w:pStyle w:val="Heading3"/>
      </w:pPr>
      <w:r>
        <w:rPr>
          <w:color w:val="00539E"/>
        </w:rPr>
        <w:t>Accounting</w:t>
      </w:r>
      <w:r>
        <w:rPr>
          <w:color w:val="00539E"/>
          <w:spacing w:val="-6"/>
        </w:rPr>
        <w:t> </w:t>
      </w:r>
      <w:r>
        <w:rPr>
          <w:color w:val="00539E"/>
        </w:rPr>
        <w:t>and</w:t>
      </w:r>
      <w:r>
        <w:rPr>
          <w:color w:val="00539E"/>
          <w:spacing w:val="-6"/>
        </w:rPr>
        <w:t> </w:t>
      </w:r>
      <w:r>
        <w:rPr>
          <w:color w:val="00539E"/>
        </w:rPr>
        <w:t>Tax</w:t>
      </w:r>
      <w:r>
        <w:rPr>
          <w:color w:val="00539E"/>
          <w:spacing w:val="-5"/>
        </w:rPr>
        <w:t> </w:t>
      </w:r>
      <w:r>
        <w:rPr>
          <w:color w:val="00539E"/>
        </w:rPr>
        <w:t>Considerations</w:t>
      </w:r>
    </w:p>
    <w:p>
      <w:pPr>
        <w:pStyle w:val="BodyText"/>
        <w:spacing w:line="261" w:lineRule="auto" w:before="215"/>
        <w:ind w:left="250" w:right="376"/>
      </w:pPr>
      <w:r>
        <w:rPr>
          <w:spacing w:val="-1"/>
        </w:rPr>
        <w:t>The Company accounts for </w:t>
      </w:r>
      <w:r>
        <w:rPr/>
        <w:t>its stock awards in accordance with FASB ASC 718. Internal Revenue Code section</w:t>
      </w:r>
      <w:r>
        <w:rPr>
          <w:spacing w:val="1"/>
        </w:rPr>
        <w:t> </w:t>
      </w:r>
      <w:r>
        <w:rPr/>
        <w:t>162(m)</w:t>
      </w:r>
      <w:r>
        <w:rPr>
          <w:spacing w:val="-6"/>
        </w:rPr>
        <w:t> </w:t>
      </w:r>
      <w:r>
        <w:rPr/>
        <w:t>limits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annual</w:t>
      </w:r>
      <w:r>
        <w:rPr>
          <w:spacing w:val="-5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expense</w:t>
      </w:r>
      <w:r>
        <w:rPr>
          <w:spacing w:val="-5"/>
        </w:rPr>
        <w:t> </w:t>
      </w:r>
      <w:r>
        <w:rPr/>
        <w:t>deduction</w:t>
      </w:r>
      <w:r>
        <w:rPr>
          <w:spacing w:val="-5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publicly</w:t>
      </w:r>
      <w:r>
        <w:rPr>
          <w:spacing w:val="-5"/>
        </w:rPr>
        <w:t> </w:t>
      </w:r>
      <w:r>
        <w:rPr/>
        <w:t>traded</w:t>
      </w:r>
      <w:r>
        <w:rPr>
          <w:spacing w:val="-5"/>
        </w:rPr>
        <w:t> </w:t>
      </w:r>
      <w:r>
        <w:rPr/>
        <w:t>companies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$1</w:t>
      </w:r>
      <w:r>
        <w:rPr>
          <w:spacing w:val="-5"/>
        </w:rPr>
        <w:t> </w:t>
      </w:r>
      <w:r>
        <w:rPr/>
        <w:t>million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certain "covered employees."</w:t>
      </w:r>
      <w:r>
        <w:rPr>
          <w:spacing w:val="1"/>
        </w:rPr>
        <w:t> </w:t>
      </w:r>
      <w:r>
        <w:rPr/>
        <w:t>The definition of compensation includes an amount equal to a publicly held</w:t>
      </w:r>
      <w:r>
        <w:rPr>
          <w:spacing w:val="1"/>
        </w:rPr>
        <w:t> </w:t>
      </w:r>
      <w:r>
        <w:rPr/>
        <w:t>corporation’s distributive share of a partnership’s deduction for the compensation expense attributable to the</w:t>
      </w:r>
      <w:r>
        <w:rPr>
          <w:spacing w:val="1"/>
        </w:rPr>
        <w:t> </w:t>
      </w:r>
      <w:r>
        <w:rPr/>
        <w:t>compensation paid by the partnership after December 18, 2020. Consequently, compensation paid to our NEOs</w:t>
      </w:r>
      <w:r>
        <w:rPr>
          <w:spacing w:val="1"/>
        </w:rPr>
        <w:t> </w:t>
      </w:r>
      <w:r>
        <w:rPr/>
        <w:t>may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fully</w:t>
      </w:r>
      <w:r>
        <w:rPr>
          <w:spacing w:val="-1"/>
        </w:rPr>
        <w:t> </w:t>
      </w:r>
      <w:r>
        <w:rPr/>
        <w:t>deductible.</w:t>
      </w:r>
    </w:p>
    <w:p>
      <w:pPr>
        <w:pStyle w:val="Heading3"/>
        <w:spacing w:before="180"/>
      </w:pPr>
      <w:r>
        <w:rPr>
          <w:color w:val="00539E"/>
        </w:rPr>
        <w:t>Severance</w:t>
      </w:r>
      <w:r>
        <w:rPr>
          <w:color w:val="00539E"/>
          <w:spacing w:val="-5"/>
        </w:rPr>
        <w:t> </w:t>
      </w:r>
      <w:r>
        <w:rPr>
          <w:color w:val="00539E"/>
        </w:rPr>
        <w:t>Benefits</w:t>
      </w:r>
    </w:p>
    <w:p>
      <w:pPr>
        <w:pStyle w:val="BodyText"/>
        <w:spacing w:before="215"/>
        <w:ind w:left="250"/>
      </w:pPr>
      <w:r>
        <w:rPr/>
        <w:t>None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Company’s</w:t>
      </w:r>
      <w:r>
        <w:rPr>
          <w:spacing w:val="-5"/>
        </w:rPr>
        <w:t> </w:t>
      </w:r>
      <w:r>
        <w:rPr/>
        <w:t>NEOs</w:t>
      </w:r>
      <w:r>
        <w:rPr>
          <w:spacing w:val="-5"/>
        </w:rPr>
        <w:t> </w:t>
      </w:r>
      <w:r>
        <w:rPr/>
        <w:t>have</w:t>
      </w:r>
      <w:r>
        <w:rPr>
          <w:spacing w:val="-4"/>
        </w:rPr>
        <w:t> </w:t>
      </w:r>
      <w:r>
        <w:rPr/>
        <w:t>any</w:t>
      </w:r>
      <w:r>
        <w:rPr>
          <w:spacing w:val="-5"/>
        </w:rPr>
        <w:t> </w:t>
      </w:r>
      <w:r>
        <w:rPr/>
        <w:t>arrangements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provide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payment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severance</w:t>
      </w:r>
      <w:r>
        <w:rPr>
          <w:spacing w:val="-5"/>
        </w:rPr>
        <w:t> </w:t>
      </w:r>
      <w:r>
        <w:rPr/>
        <w:t>benefits.</w:t>
      </w:r>
    </w:p>
    <w:p>
      <w:pPr>
        <w:pStyle w:val="BodyText"/>
        <w:spacing w:before="10"/>
        <w:rPr>
          <w:sz w:val="17"/>
        </w:rPr>
      </w:pPr>
    </w:p>
    <w:p>
      <w:pPr>
        <w:pStyle w:val="Heading3"/>
      </w:pPr>
      <w:r>
        <w:rPr>
          <w:color w:val="00539E"/>
        </w:rPr>
        <w:t>Non-Qualified</w:t>
      </w:r>
      <w:r>
        <w:rPr>
          <w:color w:val="00539E"/>
          <w:spacing w:val="-8"/>
        </w:rPr>
        <w:t> </w:t>
      </w:r>
      <w:r>
        <w:rPr>
          <w:color w:val="00539E"/>
        </w:rPr>
        <w:t>Deferred</w:t>
      </w:r>
      <w:r>
        <w:rPr>
          <w:color w:val="00539E"/>
          <w:spacing w:val="-8"/>
        </w:rPr>
        <w:t> </w:t>
      </w:r>
      <w:r>
        <w:rPr>
          <w:color w:val="00539E"/>
        </w:rPr>
        <w:t>Compensation</w:t>
      </w:r>
    </w:p>
    <w:p>
      <w:pPr>
        <w:pStyle w:val="BodyText"/>
        <w:spacing w:before="9"/>
        <w:rPr>
          <w:b/>
          <w:sz w:val="18"/>
        </w:rPr>
      </w:pPr>
    </w:p>
    <w:p>
      <w:pPr>
        <w:pStyle w:val="BodyText"/>
        <w:ind w:left="250"/>
      </w:pP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6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any</w:t>
      </w:r>
      <w:r>
        <w:rPr>
          <w:spacing w:val="-5"/>
        </w:rPr>
        <w:t> </w:t>
      </w:r>
      <w:r>
        <w:rPr/>
        <w:t>non-qualified</w:t>
      </w:r>
      <w:r>
        <w:rPr>
          <w:spacing w:val="-6"/>
        </w:rPr>
        <w:t> </w:t>
      </w:r>
      <w:r>
        <w:rPr/>
        <w:t>defined</w:t>
      </w:r>
      <w:r>
        <w:rPr>
          <w:spacing w:val="-6"/>
        </w:rPr>
        <w:t> </w:t>
      </w:r>
      <w:r>
        <w:rPr/>
        <w:t>contribution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deferred</w:t>
      </w:r>
      <w:r>
        <w:rPr>
          <w:spacing w:val="-5"/>
        </w:rPr>
        <w:t> </w:t>
      </w:r>
      <w:r>
        <w:rPr/>
        <w:t>compensation</w:t>
      </w:r>
      <w:r>
        <w:rPr>
          <w:spacing w:val="-6"/>
        </w:rPr>
        <w:t> </w:t>
      </w:r>
      <w:r>
        <w:rPr/>
        <w:t>plans.</w:t>
      </w:r>
    </w:p>
    <w:p>
      <w:pPr>
        <w:pStyle w:val="BodyText"/>
        <w:spacing w:before="10"/>
        <w:rPr>
          <w:sz w:val="17"/>
        </w:rPr>
      </w:pPr>
    </w:p>
    <w:p>
      <w:pPr>
        <w:pStyle w:val="Heading3"/>
      </w:pPr>
      <w:r>
        <w:rPr>
          <w:color w:val="00539E"/>
        </w:rPr>
        <w:t>Post-Employment</w:t>
      </w:r>
      <w:r>
        <w:rPr>
          <w:color w:val="00539E"/>
          <w:spacing w:val="-9"/>
        </w:rPr>
        <w:t> </w:t>
      </w:r>
      <w:r>
        <w:rPr>
          <w:color w:val="00539E"/>
        </w:rPr>
        <w:t>Compensation</w:t>
      </w:r>
    </w:p>
    <w:p>
      <w:pPr>
        <w:pStyle w:val="BodyText"/>
        <w:spacing w:line="249" w:lineRule="auto" w:before="215"/>
        <w:ind w:left="250"/>
      </w:pPr>
      <w:r>
        <w:rPr/>
        <w:t>All of the Company's employees, including its NEOs, are employees-at-will and as such do not have employment</w:t>
      </w:r>
      <w:r>
        <w:rPr>
          <w:spacing w:val="-53"/>
        </w:rPr>
        <w:t> </w:t>
      </w:r>
      <w:r>
        <w:rPr/>
        <w:t>contracts</w:t>
      </w:r>
      <w:r>
        <w:rPr>
          <w:spacing w:val="-6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Company.</w:t>
      </w:r>
      <w:r>
        <w:rPr>
          <w:spacing w:val="42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5"/>
        </w:rPr>
        <w:t> </w:t>
      </w:r>
      <w:r>
        <w:rPr/>
        <w:t>does</w:t>
      </w:r>
      <w:r>
        <w:rPr>
          <w:spacing w:val="-6"/>
        </w:rPr>
        <w:t> </w:t>
      </w:r>
      <w:r>
        <w:rPr/>
        <w:t>not</w:t>
      </w:r>
      <w:r>
        <w:rPr>
          <w:spacing w:val="-6"/>
        </w:rPr>
        <w:t> </w:t>
      </w:r>
      <w:r>
        <w:rPr/>
        <w:t>provide</w:t>
      </w:r>
      <w:r>
        <w:rPr>
          <w:spacing w:val="-5"/>
        </w:rPr>
        <w:t> </w:t>
      </w:r>
      <w:r>
        <w:rPr/>
        <w:t>post-employment</w:t>
      </w:r>
      <w:r>
        <w:rPr>
          <w:spacing w:val="-6"/>
        </w:rPr>
        <w:t> </w:t>
      </w:r>
      <w:r>
        <w:rPr/>
        <w:t>health</w:t>
      </w:r>
      <w:r>
        <w:rPr>
          <w:spacing w:val="-6"/>
        </w:rPr>
        <w:t> </w:t>
      </w:r>
      <w:r>
        <w:rPr/>
        <w:t>coverage</w:t>
      </w:r>
      <w:r>
        <w:rPr>
          <w:spacing w:val="-5"/>
        </w:rPr>
        <w:t> </w:t>
      </w:r>
      <w:r>
        <w:rPr/>
        <w:t>or</w:t>
      </w:r>
      <w:r>
        <w:rPr>
          <w:spacing w:val="-6"/>
        </w:rPr>
        <w:t> </w:t>
      </w:r>
      <w:r>
        <w:rPr/>
        <w:t>other</w:t>
      </w:r>
      <w:r>
        <w:rPr>
          <w:spacing w:val="-6"/>
        </w:rPr>
        <w:t> </w:t>
      </w:r>
      <w:r>
        <w:rPr/>
        <w:t>benefits.</w:t>
      </w:r>
    </w:p>
    <w:p>
      <w:pPr>
        <w:pStyle w:val="BodyText"/>
        <w:spacing w:before="5"/>
        <w:rPr>
          <w:sz w:val="18"/>
        </w:rPr>
      </w:pPr>
    </w:p>
    <w:p>
      <w:pPr>
        <w:pStyle w:val="Heading3"/>
      </w:pPr>
      <w:r>
        <w:rPr>
          <w:color w:val="00539E"/>
        </w:rPr>
        <w:t>Change</w:t>
      </w:r>
      <w:r>
        <w:rPr>
          <w:color w:val="00539E"/>
          <w:spacing w:val="-4"/>
        </w:rPr>
        <w:t> </w:t>
      </w:r>
      <w:r>
        <w:rPr>
          <w:color w:val="00539E"/>
        </w:rPr>
        <w:t>in</w:t>
      </w:r>
      <w:r>
        <w:rPr>
          <w:color w:val="00539E"/>
          <w:spacing w:val="-4"/>
        </w:rPr>
        <w:t> </w:t>
      </w:r>
      <w:r>
        <w:rPr>
          <w:color w:val="00539E"/>
        </w:rPr>
        <w:t>Control</w:t>
      </w: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spacing w:line="249" w:lineRule="auto" w:before="1"/>
        <w:ind w:left="250" w:right="321"/>
      </w:pPr>
      <w:r>
        <w:rPr/>
        <w:t>None of the Company's NEOs are entitled to any payment upon a change in control of the Company. However, the</w:t>
      </w:r>
      <w:r>
        <w:rPr>
          <w:spacing w:val="1"/>
        </w:rPr>
        <w:t> </w:t>
      </w:r>
      <w:r>
        <w:rPr/>
        <w:t>vesting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Restricted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Stock</w:t>
      </w:r>
      <w:r>
        <w:rPr>
          <w:spacing w:val="-4"/>
        </w:rPr>
        <w:t> </w:t>
      </w:r>
      <w:r>
        <w:rPr/>
        <w:t>grants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subject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acceleration</w:t>
      </w:r>
      <w:r>
        <w:rPr>
          <w:spacing w:val="-4"/>
        </w:rPr>
        <w:t> </w:t>
      </w:r>
      <w:r>
        <w:rPr/>
        <w:t>upon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change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control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death</w:t>
      </w:r>
      <w:r>
        <w:rPr>
          <w:spacing w:val="2"/>
        </w:rPr>
        <w:t> </w:t>
      </w:r>
      <w:r>
        <w:rPr/>
        <w:t>or</w:t>
      </w:r>
      <w:r>
        <w:rPr>
          <w:spacing w:val="2"/>
        </w:rPr>
        <w:t> </w:t>
      </w:r>
      <w:r>
        <w:rPr/>
        <w:t>disability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recipient.</w:t>
      </w:r>
      <w:r>
        <w:rPr>
          <w:spacing w:val="45"/>
        </w:rPr>
        <w:t> </w:t>
      </w:r>
      <w:r>
        <w:rPr/>
        <w:t>As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December</w:t>
      </w:r>
      <w:r>
        <w:rPr>
          <w:spacing w:val="2"/>
        </w:rPr>
        <w:t> </w:t>
      </w:r>
      <w:r>
        <w:rPr/>
        <w:t>31,</w:t>
      </w:r>
      <w:r>
        <w:rPr>
          <w:spacing w:val="2"/>
        </w:rPr>
        <w:t> </w:t>
      </w:r>
      <w:r>
        <w:rPr/>
        <w:t>2021,</w:t>
      </w:r>
      <w:r>
        <w:rPr>
          <w:spacing w:val="2"/>
        </w:rPr>
        <w:t> </w:t>
      </w:r>
      <w:r>
        <w:rPr/>
        <w:t>non-vested</w:t>
      </w:r>
      <w:r>
        <w:rPr>
          <w:spacing w:val="2"/>
        </w:rPr>
        <w:t> </w:t>
      </w:r>
      <w:r>
        <w:rPr/>
        <w:t>restricted</w:t>
      </w:r>
      <w:r>
        <w:rPr>
          <w:spacing w:val="1"/>
        </w:rPr>
        <w:t> </w:t>
      </w:r>
      <w:r>
        <w:rPr/>
        <w:t>stock</w:t>
      </w:r>
      <w:r>
        <w:rPr>
          <w:spacing w:val="2"/>
        </w:rPr>
        <w:t> </w:t>
      </w:r>
      <w:r>
        <w:rPr/>
        <w:t>awards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NEOs</w:t>
      </w:r>
      <w:r>
        <w:rPr>
          <w:spacing w:val="-3"/>
        </w:rPr>
        <w:t> </w:t>
      </w:r>
      <w:r>
        <w:rPr>
          <w:spacing w:val="-1"/>
        </w:rPr>
        <w:t>were</w:t>
      </w:r>
      <w:r>
        <w:rPr>
          <w:spacing w:val="-3"/>
        </w:rPr>
        <w:t> </w:t>
      </w:r>
      <w:r>
        <w:rPr>
          <w:spacing w:val="-1"/>
        </w:rPr>
        <w:t>as</w:t>
      </w:r>
      <w:r>
        <w:rPr>
          <w:spacing w:val="-3"/>
        </w:rPr>
        <w:t> </w:t>
      </w:r>
      <w:r>
        <w:rPr>
          <w:spacing w:val="-1"/>
        </w:rPr>
        <w:t>shown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"Outstanding</w:t>
      </w:r>
      <w:r>
        <w:rPr>
          <w:spacing w:val="-3"/>
        </w:rPr>
        <w:t> </w:t>
      </w:r>
      <w:r>
        <w:rPr/>
        <w:t>Equity</w:t>
      </w:r>
      <w:r>
        <w:rPr>
          <w:spacing w:val="-14"/>
        </w:rPr>
        <w:t> </w:t>
      </w:r>
      <w:r>
        <w:rPr/>
        <w:t>Awards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Fiscal</w:t>
      </w:r>
      <w:r>
        <w:rPr>
          <w:spacing w:val="-6"/>
        </w:rPr>
        <w:t> </w:t>
      </w:r>
      <w:r>
        <w:rPr/>
        <w:t>Year-End"</w:t>
      </w:r>
      <w:r>
        <w:rPr>
          <w:spacing w:val="-3"/>
        </w:rPr>
        <w:t> </w:t>
      </w: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Proxy</w:t>
      </w:r>
      <w:r>
        <w:rPr>
          <w:spacing w:val="-3"/>
        </w:rPr>
        <w:t> </w:t>
      </w:r>
      <w:r>
        <w:rPr/>
        <w:t>Statement.</w:t>
      </w:r>
    </w:p>
    <w:p>
      <w:pPr>
        <w:pStyle w:val="BodyText"/>
        <w:spacing w:before="3"/>
        <w:rPr>
          <w:sz w:val="17"/>
        </w:rPr>
      </w:pPr>
    </w:p>
    <w:p>
      <w:pPr>
        <w:pStyle w:val="Heading3"/>
      </w:pPr>
      <w:r>
        <w:rPr>
          <w:color w:val="00539E"/>
        </w:rPr>
        <w:t>Perquisites</w:t>
      </w:r>
      <w:r>
        <w:rPr>
          <w:color w:val="00539E"/>
          <w:spacing w:val="-4"/>
        </w:rPr>
        <w:t> </w:t>
      </w:r>
      <w:r>
        <w:rPr>
          <w:color w:val="00539E"/>
        </w:rPr>
        <w:t>and</w:t>
      </w:r>
      <w:r>
        <w:rPr>
          <w:color w:val="00539E"/>
          <w:spacing w:val="-4"/>
        </w:rPr>
        <w:t> </w:t>
      </w:r>
      <w:r>
        <w:rPr>
          <w:color w:val="00539E"/>
        </w:rPr>
        <w:t>Other</w:t>
      </w:r>
      <w:r>
        <w:rPr>
          <w:color w:val="00539E"/>
          <w:spacing w:val="-3"/>
        </w:rPr>
        <w:t> </w:t>
      </w:r>
      <w:r>
        <w:rPr>
          <w:color w:val="00539E"/>
        </w:rPr>
        <w:t>Benefits</w:t>
      </w:r>
    </w:p>
    <w:p>
      <w:pPr>
        <w:pStyle w:val="BodyText"/>
        <w:spacing w:line="249" w:lineRule="auto" w:before="215"/>
        <w:ind w:left="250" w:right="282"/>
      </w:pPr>
      <w:r>
        <w:rPr/>
        <w:t>The Company's NEOs do not receive benefits that are not otherwise available to all of its employees. All employees</w:t>
      </w:r>
      <w:r>
        <w:rPr>
          <w:spacing w:val="-53"/>
        </w:rPr>
        <w:t> </w:t>
      </w:r>
      <w:r>
        <w:rPr/>
        <w:t>who participated in the 401(k) plan received a matching contribution equal to 100% of the first 3%, and 50% of the</w:t>
      </w:r>
      <w:r>
        <w:rPr>
          <w:spacing w:val="1"/>
        </w:rPr>
        <w:t> </w:t>
      </w:r>
      <w:r>
        <w:rPr/>
        <w:t>next 2%, of the participant's eligible earnings that were contributed to the plan, up to a maximum matching</w:t>
      </w:r>
      <w:r>
        <w:rPr>
          <w:spacing w:val="1"/>
        </w:rPr>
        <w:t> </w:t>
      </w:r>
      <w:r>
        <w:rPr/>
        <w:t>contribution of $11,600. Additionally, the Company may make a discretionary contribution annually for each</w:t>
      </w:r>
      <w:r>
        <w:rPr>
          <w:spacing w:val="1"/>
        </w:rPr>
        <w:t> </w:t>
      </w:r>
      <w:r>
        <w:rPr/>
        <w:t>participant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amount,</w:t>
      </w:r>
      <w:r>
        <w:rPr>
          <w:spacing w:val="-4"/>
        </w:rPr>
        <w:t> </w:t>
      </w:r>
      <w:r>
        <w:rPr/>
        <w:t>if</w:t>
      </w:r>
      <w:r>
        <w:rPr>
          <w:spacing w:val="-4"/>
        </w:rPr>
        <w:t> </w:t>
      </w:r>
      <w:r>
        <w:rPr/>
        <w:t>any,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determined</w:t>
      </w:r>
      <w:r>
        <w:rPr>
          <w:spacing w:val="-4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contributions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made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2021.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The</w:t>
      </w:r>
      <w:r>
        <w:rPr>
          <w:spacing w:val="-6"/>
        </w:rPr>
        <w:t> </w:t>
      </w:r>
      <w:r>
        <w:rPr/>
        <w:t>Company</w:t>
      </w:r>
      <w:r>
        <w:rPr>
          <w:spacing w:val="-5"/>
        </w:rPr>
        <w:t> </w:t>
      </w:r>
      <w:r>
        <w:rPr/>
        <w:t>has</w:t>
      </w:r>
      <w:r>
        <w:rPr>
          <w:spacing w:val="-5"/>
        </w:rPr>
        <w:t> </w:t>
      </w:r>
      <w:r>
        <w:rPr/>
        <w:t>provided</w:t>
      </w:r>
      <w:r>
        <w:rPr>
          <w:spacing w:val="-5"/>
        </w:rPr>
        <w:t> </w:t>
      </w:r>
      <w:r>
        <w:rPr/>
        <w:t>each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NEOs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indemnification</w:t>
      </w:r>
      <w:r>
        <w:rPr>
          <w:spacing w:val="-5"/>
        </w:rPr>
        <w:t> </w:t>
      </w:r>
      <w:r>
        <w:rPr/>
        <w:t>agreement,</w:t>
      </w:r>
      <w:r>
        <w:rPr>
          <w:spacing w:val="-5"/>
        </w:rPr>
        <w:t> </w:t>
      </w:r>
      <w:r>
        <w:rPr/>
        <w:t>however,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</w:t>
      </w:r>
      <w:r>
        <w:rPr>
          <w:spacing w:val="-6"/>
        </w:rPr>
        <w:t> </w:t>
      </w:r>
      <w:r>
        <w:rPr/>
        <w:t>has</w:t>
      </w:r>
      <w:r>
        <w:rPr>
          <w:spacing w:val="-5"/>
        </w:rPr>
        <w:t> </w:t>
      </w:r>
      <w:r>
        <w:rPr/>
        <w:t>paid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amounts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agreements.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250"/>
      </w:pPr>
      <w:r>
        <w:rPr/>
        <w:t>The Company has a non-qualified Employee Stock Purchase Plan ("ESPP") in which certain employees and all the</w:t>
      </w:r>
      <w:r>
        <w:rPr>
          <w:spacing w:val="-53"/>
        </w:rPr>
        <w:t> </w:t>
      </w:r>
      <w:r>
        <w:rPr/>
        <w:t>Directors</w:t>
      </w:r>
      <w:r>
        <w:rPr>
          <w:spacing w:val="-5"/>
        </w:rPr>
        <w:t> </w:t>
      </w:r>
      <w:r>
        <w:rPr/>
        <w:t>may</w:t>
      </w:r>
      <w:r>
        <w:rPr>
          <w:spacing w:val="-4"/>
        </w:rPr>
        <w:t> </w:t>
      </w:r>
      <w:r>
        <w:rPr/>
        <w:t>participate.</w:t>
      </w:r>
      <w:r>
        <w:rPr>
          <w:spacing w:val="49"/>
        </w:rPr>
        <w:t> </w:t>
      </w:r>
      <w:r>
        <w:rPr/>
        <w:t>Participants</w:t>
      </w:r>
      <w:r>
        <w:rPr>
          <w:spacing w:val="-4"/>
        </w:rPr>
        <w:t> </w:t>
      </w:r>
      <w:r>
        <w:rPr/>
        <w:t>may</w:t>
      </w:r>
      <w:r>
        <w:rPr>
          <w:spacing w:val="-4"/>
        </w:rPr>
        <w:t> </w:t>
      </w:r>
      <w:r>
        <w:rPr/>
        <w:t>acquire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Stock</w:t>
      </w:r>
      <w:r>
        <w:rPr>
          <w:spacing w:val="-4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ESPP</w:t>
      </w:r>
      <w:r>
        <w:rPr>
          <w:spacing w:val="-7"/>
        </w:rPr>
        <w:t> </w:t>
      </w:r>
      <w:r>
        <w:rPr/>
        <w:t>at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15%</w:t>
      </w:r>
      <w:r>
        <w:rPr>
          <w:spacing w:val="-4"/>
        </w:rPr>
        <w:t> </w:t>
      </w:r>
      <w:r>
        <w:rPr/>
        <w:t>discount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up</w:t>
      </w:r>
      <w:r>
        <w:rPr>
          <w:spacing w:val="-4"/>
        </w:rPr>
        <w:t> </w:t>
      </w:r>
      <w:r>
        <w:rPr/>
        <w:t>to</w:t>
      </w:r>
    </w:p>
    <w:p>
      <w:pPr>
        <w:pStyle w:val="BodyText"/>
        <w:spacing w:before="1"/>
        <w:ind w:left="250"/>
      </w:pPr>
      <w:r>
        <w:rPr/>
        <w:t>$250,000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contributions</w:t>
      </w:r>
      <w:r>
        <w:rPr>
          <w:spacing w:val="-7"/>
        </w:rPr>
        <w:t> </w:t>
      </w:r>
      <w:r>
        <w:rPr/>
        <w:t>per</w:t>
      </w:r>
      <w:r>
        <w:rPr>
          <w:spacing w:val="-8"/>
        </w:rPr>
        <w:t> </w:t>
      </w:r>
      <w:r>
        <w:rPr/>
        <w:t>year.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249" w:lineRule="auto"/>
        <w:ind w:left="250" w:right="282"/>
      </w:pPr>
      <w:r>
        <w:rPr/>
        <w:t>Discounts on such stock purchases are not considered a perquisite and are not included in the Summary</w:t>
      </w:r>
      <w:r>
        <w:rPr>
          <w:spacing w:val="1"/>
        </w:rPr>
        <w:t> </w:t>
      </w:r>
      <w:r>
        <w:rPr/>
        <w:t>Compensation</w:t>
      </w:r>
      <w:r>
        <w:rPr>
          <w:spacing w:val="-10"/>
        </w:rPr>
        <w:t> </w:t>
      </w:r>
      <w:r>
        <w:rPr/>
        <w:t>Table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such</w:t>
      </w:r>
      <w:r>
        <w:rPr>
          <w:spacing w:val="-7"/>
        </w:rPr>
        <w:t> </w:t>
      </w:r>
      <w:r>
        <w:rPr/>
        <w:t>discount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available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salaried</w:t>
      </w:r>
      <w:r>
        <w:rPr>
          <w:spacing w:val="-7"/>
        </w:rPr>
        <w:t> </w:t>
      </w:r>
      <w:r>
        <w:rPr/>
        <w:t>employees</w:t>
      </w:r>
      <w:r>
        <w:rPr>
          <w:spacing w:val="-7"/>
        </w:rPr>
        <w:t> </w:t>
      </w:r>
      <w:r>
        <w:rPr/>
        <w:t>who</w:t>
      </w:r>
      <w:r>
        <w:rPr>
          <w:spacing w:val="-7"/>
        </w:rPr>
        <w:t> </w:t>
      </w:r>
      <w:r>
        <w:rPr/>
        <w:t>elect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participate</w:t>
      </w:r>
      <w:r>
        <w:rPr>
          <w:spacing w:val="-7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ESPP.</w:t>
      </w:r>
    </w:p>
    <w:p>
      <w:pPr>
        <w:pStyle w:val="Heading3"/>
        <w:spacing w:before="198"/>
      </w:pPr>
      <w:r>
        <w:rPr>
          <w:color w:val="00539E"/>
        </w:rPr>
        <w:t>2022</w:t>
      </w:r>
      <w:r>
        <w:rPr>
          <w:color w:val="00539E"/>
          <w:spacing w:val="-6"/>
        </w:rPr>
        <w:t> </w:t>
      </w:r>
      <w:r>
        <w:rPr>
          <w:color w:val="00539E"/>
        </w:rPr>
        <w:t>Executive</w:t>
      </w:r>
      <w:r>
        <w:rPr>
          <w:color w:val="00539E"/>
          <w:spacing w:val="-5"/>
        </w:rPr>
        <w:t> </w:t>
      </w:r>
      <w:r>
        <w:rPr>
          <w:color w:val="00539E"/>
        </w:rPr>
        <w:t>Compensation</w:t>
      </w:r>
    </w:p>
    <w:p>
      <w:pPr>
        <w:pStyle w:val="BodyText"/>
        <w:spacing w:line="249" w:lineRule="auto" w:before="215"/>
        <w:ind w:left="250" w:right="469"/>
      </w:pPr>
      <w:r>
        <w:rPr/>
        <w:t>On</w:t>
      </w:r>
      <w:r>
        <w:rPr>
          <w:spacing w:val="-5"/>
        </w:rPr>
        <w:t> </w:t>
      </w:r>
      <w:r>
        <w:rPr/>
        <w:t>February</w:t>
      </w:r>
      <w:r>
        <w:rPr>
          <w:spacing w:val="-4"/>
        </w:rPr>
        <w:t> </w:t>
      </w:r>
      <w:r>
        <w:rPr/>
        <w:t>7,</w:t>
      </w:r>
      <w:r>
        <w:rPr>
          <w:spacing w:val="-5"/>
        </w:rPr>
        <w:t> </w:t>
      </w:r>
      <w:r>
        <w:rPr/>
        <w:t>2022,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Compensation</w:t>
      </w:r>
      <w:r>
        <w:rPr>
          <w:spacing w:val="-4"/>
        </w:rPr>
        <w:t> </w:t>
      </w:r>
      <w:r>
        <w:rPr/>
        <w:t>Committee</w:t>
      </w:r>
      <w:r>
        <w:rPr>
          <w:spacing w:val="-5"/>
        </w:rPr>
        <w:t> </w:t>
      </w:r>
      <w:r>
        <w:rPr/>
        <w:t>approved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2022</w:t>
      </w:r>
      <w:r>
        <w:rPr>
          <w:spacing w:val="-4"/>
        </w:rPr>
        <w:t> </w:t>
      </w:r>
      <w:r>
        <w:rPr/>
        <w:t>Base</w:t>
      </w:r>
      <w:r>
        <w:rPr>
          <w:spacing w:val="-5"/>
        </w:rPr>
        <w:t> </w:t>
      </w:r>
      <w:r>
        <w:rPr/>
        <w:t>Salaries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$624,000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Ms.</w:t>
      </w:r>
      <w:r>
        <w:rPr>
          <w:spacing w:val="-5"/>
        </w:rPr>
        <w:t> </w:t>
      </w:r>
      <w:r>
        <w:rPr/>
        <w:t>Nader</w:t>
      </w:r>
      <w:r>
        <w:rPr>
          <w:spacing w:val="1"/>
        </w:rPr>
        <w:t> </w:t>
      </w:r>
      <w:r>
        <w:rPr>
          <w:spacing w:val="-2"/>
        </w:rPr>
        <w:t>and $411,112 for each of Mr. Seavey, </w:t>
      </w:r>
      <w:r>
        <w:rPr>
          <w:spacing w:val="-1"/>
        </w:rPr>
        <w:t>Mr. Waite, and Mr. Eldersveld effective April 1, 2022.</w:t>
      </w:r>
      <w:r>
        <w:rPr/>
        <w:t> </w:t>
      </w:r>
      <w:r>
        <w:rPr>
          <w:spacing w:val="-1"/>
        </w:rPr>
        <w:t>On February 7, 2022,</w:t>
      </w:r>
      <w:r>
        <w:rPr/>
        <w:t> the Compensation Committee approved the Executive Bonus Plan for 2022 (the "2022 Plan").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regarding the 2022 Plan was filed on Form 8-K with the SEC on February 11, 2022.</w:t>
      </w:r>
      <w:r>
        <w:rPr>
          <w:spacing w:val="1"/>
        </w:rPr>
        <w:t> </w:t>
      </w:r>
      <w:r>
        <w:rPr/>
        <w:t>Under the 2022 Plan, the</w:t>
      </w:r>
      <w:r>
        <w:rPr>
          <w:spacing w:val="1"/>
        </w:rPr>
        <w:t> </w:t>
      </w:r>
      <w:r>
        <w:rPr/>
        <w:t>annual 2022 Cash Bonus potential is based on the achievement of certain performance targets. The total 2022</w:t>
      </w:r>
      <w:r>
        <w:rPr>
          <w:spacing w:val="1"/>
        </w:rPr>
        <w:t> </w:t>
      </w:r>
      <w:r>
        <w:rPr/>
        <w:t>Cash</w:t>
      </w:r>
      <w:r>
        <w:rPr>
          <w:spacing w:val="-2"/>
        </w:rPr>
        <w:t> </w:t>
      </w:r>
      <w:r>
        <w:rPr/>
        <w:t>Bonus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2022</w:t>
      </w:r>
      <w:r>
        <w:rPr>
          <w:spacing w:val="-1"/>
        </w:rPr>
        <w:t> </w:t>
      </w:r>
      <w:r>
        <w:rPr/>
        <w:t>Plan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follows:</w:t>
      </w:r>
    </w:p>
    <w:p>
      <w:pPr>
        <w:pStyle w:val="BodyText"/>
        <w:spacing w:before="9"/>
        <w:rPr>
          <w:sz w:val="12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0"/>
        <w:gridCol w:w="5976"/>
        <w:gridCol w:w="2262"/>
      </w:tblGrid>
      <w:tr>
        <w:trPr>
          <w:trHeight w:val="275" w:hRule="atLeast"/>
        </w:trPr>
        <w:tc>
          <w:tcPr>
            <w:tcW w:w="1600" w:type="dxa"/>
            <w:tcBorders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line="207" w:lineRule="exact" w:before="48"/>
              <w:ind w:left="607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Name</w:t>
            </w:r>
          </w:p>
        </w:tc>
        <w:tc>
          <w:tcPr>
            <w:tcW w:w="5976" w:type="dxa"/>
            <w:tcBorders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line="207" w:lineRule="exact" w:before="48"/>
              <w:ind w:left="2837" w:right="2758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Title</w:t>
            </w:r>
          </w:p>
        </w:tc>
        <w:tc>
          <w:tcPr>
            <w:tcW w:w="2262" w:type="dxa"/>
            <w:tcBorders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line="207" w:lineRule="exact" w:before="48"/>
              <w:ind w:left="219" w:right="229"/>
              <w:jc w:val="center"/>
              <w:rPr>
                <w:sz w:val="18"/>
              </w:rPr>
            </w:pPr>
            <w:r>
              <w:rPr>
                <w:color w:val="FFFFFF"/>
                <w:sz w:val="18"/>
              </w:rPr>
              <w:t>Bonus</w:t>
            </w:r>
            <w:r>
              <w:rPr>
                <w:color w:val="FFFFFF"/>
                <w:spacing w:val="-4"/>
                <w:sz w:val="18"/>
              </w:rPr>
              <w:t> </w:t>
            </w:r>
            <w:r>
              <w:rPr>
                <w:color w:val="FFFFFF"/>
                <w:sz w:val="18"/>
              </w:rPr>
              <w:t>Potential</w:t>
            </w:r>
          </w:p>
        </w:tc>
      </w:tr>
      <w:tr>
        <w:trPr>
          <w:trHeight w:val="294" w:hRule="atLeast"/>
        </w:trPr>
        <w:tc>
          <w:tcPr>
            <w:tcW w:w="1600" w:type="dxa"/>
            <w:tcBorders>
              <w:top w:val="single" w:sz="8" w:space="0" w:color="auto"/>
            </w:tcBorders>
          </w:tcPr>
          <w:p>
            <w:pPr>
              <w:pStyle w:val="TableParagraph"/>
              <w:spacing w:line="240" w:lineRule="auto" w:before="38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Marguerite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Nader</w:t>
            </w:r>
          </w:p>
        </w:tc>
        <w:tc>
          <w:tcPr>
            <w:tcW w:w="5976" w:type="dxa"/>
            <w:tcBorders>
              <w:top w:val="single" w:sz="8" w:space="0" w:color="auto"/>
            </w:tcBorders>
          </w:tcPr>
          <w:p>
            <w:pPr>
              <w:pStyle w:val="TableParagraph"/>
              <w:spacing w:line="240" w:lineRule="auto" w:before="38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President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Chief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Executive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Officer</w:t>
            </w:r>
          </w:p>
        </w:tc>
        <w:tc>
          <w:tcPr>
            <w:tcW w:w="2262" w:type="dxa"/>
            <w:tcBorders>
              <w:top w:val="single" w:sz="8" w:space="0" w:color="auto"/>
            </w:tcBorders>
          </w:tcPr>
          <w:p>
            <w:pPr>
              <w:pStyle w:val="TableParagraph"/>
              <w:spacing w:line="240" w:lineRule="auto" w:before="38"/>
              <w:ind w:left="219" w:right="229"/>
              <w:jc w:val="center"/>
              <w:rPr>
                <w:sz w:val="18"/>
              </w:rPr>
            </w:pPr>
            <w:r>
              <w:rPr>
                <w:sz w:val="18"/>
              </w:rPr>
              <w:t>290%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salary</w:t>
            </w:r>
          </w:p>
        </w:tc>
      </w:tr>
      <w:tr>
        <w:trPr>
          <w:trHeight w:val="300" w:hRule="atLeast"/>
        </w:trPr>
        <w:tc>
          <w:tcPr>
            <w:tcW w:w="1600" w:type="dxa"/>
          </w:tcPr>
          <w:p>
            <w:pPr>
              <w:pStyle w:val="TableParagraph"/>
              <w:spacing w:line="240" w:lineRule="auto" w:before="4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Paul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Seavey</w:t>
            </w:r>
          </w:p>
        </w:tc>
        <w:tc>
          <w:tcPr>
            <w:tcW w:w="5976" w:type="dxa"/>
          </w:tcPr>
          <w:p>
            <w:pPr>
              <w:pStyle w:val="TableParagraph"/>
              <w:spacing w:line="240" w:lineRule="auto" w:before="43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Executive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President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Chief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Financial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Officer</w:t>
            </w:r>
          </w:p>
        </w:tc>
        <w:tc>
          <w:tcPr>
            <w:tcW w:w="2262" w:type="dxa"/>
          </w:tcPr>
          <w:p>
            <w:pPr>
              <w:pStyle w:val="TableParagraph"/>
              <w:spacing w:line="240" w:lineRule="auto" w:before="43"/>
              <w:ind w:left="219" w:right="229"/>
              <w:jc w:val="center"/>
              <w:rPr>
                <w:sz w:val="18"/>
              </w:rPr>
            </w:pPr>
            <w:r>
              <w:rPr>
                <w:sz w:val="18"/>
              </w:rPr>
              <w:t>220%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salary</w:t>
            </w:r>
          </w:p>
        </w:tc>
      </w:tr>
      <w:tr>
        <w:trPr>
          <w:trHeight w:val="292" w:hRule="atLeast"/>
        </w:trPr>
        <w:tc>
          <w:tcPr>
            <w:tcW w:w="1600" w:type="dxa"/>
          </w:tcPr>
          <w:p>
            <w:pPr>
              <w:pStyle w:val="TableParagraph"/>
              <w:spacing w:line="240" w:lineRule="auto" w:before="43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Patrick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Waite</w:t>
            </w:r>
          </w:p>
        </w:tc>
        <w:tc>
          <w:tcPr>
            <w:tcW w:w="5976" w:type="dxa"/>
          </w:tcPr>
          <w:p>
            <w:pPr>
              <w:pStyle w:val="TableParagraph"/>
              <w:spacing w:line="240" w:lineRule="auto" w:before="43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Executive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President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Chief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Operating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Officer</w:t>
            </w:r>
          </w:p>
        </w:tc>
        <w:tc>
          <w:tcPr>
            <w:tcW w:w="2262" w:type="dxa"/>
          </w:tcPr>
          <w:p>
            <w:pPr>
              <w:pStyle w:val="TableParagraph"/>
              <w:spacing w:line="240" w:lineRule="auto" w:before="43"/>
              <w:ind w:left="219" w:right="229"/>
              <w:jc w:val="center"/>
              <w:rPr>
                <w:sz w:val="18"/>
              </w:rPr>
            </w:pPr>
            <w:r>
              <w:rPr>
                <w:sz w:val="18"/>
              </w:rPr>
              <w:t>220%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salary</w:t>
            </w:r>
          </w:p>
        </w:tc>
      </w:tr>
      <w:tr>
        <w:trPr>
          <w:trHeight w:val="243" w:hRule="atLeast"/>
        </w:trPr>
        <w:tc>
          <w:tcPr>
            <w:tcW w:w="1600" w:type="dxa"/>
          </w:tcPr>
          <w:p>
            <w:pPr>
              <w:pStyle w:val="TableParagraph"/>
              <w:spacing w:line="187" w:lineRule="exact" w:before="36"/>
              <w:ind w:left="52"/>
              <w:jc w:val="left"/>
              <w:rPr>
                <w:sz w:val="18"/>
              </w:rPr>
            </w:pPr>
            <w:r>
              <w:rPr>
                <w:sz w:val="18"/>
              </w:rPr>
              <w:t>David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Eldersveld</w:t>
            </w:r>
          </w:p>
        </w:tc>
        <w:tc>
          <w:tcPr>
            <w:tcW w:w="5976" w:type="dxa"/>
          </w:tcPr>
          <w:p>
            <w:pPr>
              <w:pStyle w:val="TableParagraph"/>
              <w:spacing w:line="187" w:lineRule="exact" w:before="36"/>
              <w:ind w:left="147"/>
              <w:jc w:val="left"/>
              <w:rPr>
                <w:sz w:val="18"/>
              </w:rPr>
            </w:pPr>
            <w:r>
              <w:rPr>
                <w:sz w:val="18"/>
              </w:rPr>
              <w:t>Executive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Vice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President,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Chief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Legal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Officer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Corporate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Secretary</w:t>
            </w:r>
          </w:p>
        </w:tc>
        <w:tc>
          <w:tcPr>
            <w:tcW w:w="2262" w:type="dxa"/>
          </w:tcPr>
          <w:p>
            <w:pPr>
              <w:pStyle w:val="TableParagraph"/>
              <w:spacing w:line="187" w:lineRule="exact" w:before="36"/>
              <w:ind w:left="219" w:right="229"/>
              <w:jc w:val="center"/>
              <w:rPr>
                <w:sz w:val="18"/>
              </w:rPr>
            </w:pPr>
            <w:r>
              <w:rPr>
                <w:sz w:val="18"/>
              </w:rPr>
              <w:t>220%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annual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salary</w:t>
            </w:r>
          </w:p>
        </w:tc>
      </w:tr>
    </w:tbl>
    <w:p>
      <w:pPr>
        <w:pStyle w:val="BodyText"/>
        <w:spacing w:line="249" w:lineRule="auto" w:before="189"/>
        <w:ind w:left="250" w:right="368"/>
      </w:pPr>
      <w:r>
        <w:rPr/>
        <w:t>Under the Plan, payment of 70% of the 2022 Cash Bonus potential is contingent upon the achievement of certain</w:t>
      </w:r>
      <w:r>
        <w:rPr>
          <w:spacing w:val="1"/>
        </w:rPr>
        <w:t> </w:t>
      </w:r>
      <w:r>
        <w:rPr/>
        <w:t>operational targets, including goals related to core community base rental income, core resort base rental income</w:t>
      </w:r>
      <w:r>
        <w:rPr>
          <w:spacing w:val="1"/>
        </w:rPr>
        <w:t> </w:t>
      </w:r>
      <w:r>
        <w:rPr/>
        <w:t>and dues revenue, site and member optimization, core net operating income and expense control, and working</w:t>
      </w:r>
      <w:r>
        <w:rPr>
          <w:spacing w:val="1"/>
        </w:rPr>
        <w:t> </w:t>
      </w:r>
      <w:r>
        <w:rPr/>
        <w:t>capital. The Compensation Committee will have discretion at the end of 2022 to determine an appropriate award</w:t>
      </w:r>
      <w:r>
        <w:rPr>
          <w:spacing w:val="1"/>
        </w:rPr>
        <w:t> </w:t>
      </w:r>
      <w:r>
        <w:rPr/>
        <w:t>based on an evaluation of each of the established goals. Payment of the remaining 30% of the 2022 Cash Bonus</w:t>
      </w:r>
      <w:r>
        <w:rPr>
          <w:spacing w:val="1"/>
        </w:rPr>
        <w:t> </w:t>
      </w:r>
      <w:r>
        <w:rPr/>
        <w:t>potential is at the discretion of the Compensation Committee based on its assessment of various strategic</w:t>
      </w:r>
      <w:r>
        <w:rPr>
          <w:spacing w:val="1"/>
        </w:rPr>
        <w:t> </w:t>
      </w:r>
      <w:r>
        <w:rPr/>
        <w:t>initiatives, including</w:t>
      </w:r>
      <w:r>
        <w:rPr>
          <w:sz w:val="16"/>
        </w:rPr>
        <w:t>, </w:t>
      </w:r>
      <w:r>
        <w:rPr/>
        <w:t>but not limited to, revenue management, home and membership sales, expense management,</w:t>
      </w:r>
      <w:r>
        <w:rPr>
          <w:spacing w:val="-53"/>
        </w:rPr>
        <w:t> </w:t>
      </w:r>
      <w:r>
        <w:rPr/>
        <w:t>property maintenance and improvements, portfolio assessment, property development, innovation and technology,</w:t>
      </w:r>
      <w:r>
        <w:rPr>
          <w:spacing w:val="-53"/>
        </w:rPr>
        <w:t> </w:t>
      </w:r>
      <w:r>
        <w:rPr/>
        <w:t>ESG initiatives and employee relations, established for the NEOs, as a whole, including the discretion to apportion</w:t>
      </w:r>
      <w:r>
        <w:rPr>
          <w:spacing w:val="1"/>
        </w:rPr>
        <w:t> </w:t>
      </w:r>
      <w:r>
        <w:rPr/>
        <w:t>the aggregate discretionary bonus amount amongst the eligible executives.</w:t>
      </w:r>
      <w:r>
        <w:rPr>
          <w:spacing w:val="1"/>
        </w:rPr>
        <w:t> </w:t>
      </w:r>
      <w:r>
        <w:rPr/>
        <w:t>The amount paid to each NEO is</w:t>
      </w:r>
      <w:r>
        <w:rPr>
          <w:spacing w:val="1"/>
        </w:rPr>
        <w:t> </w:t>
      </w:r>
      <w:r>
        <w:rPr/>
        <w:t>subject to the discretion of the Compensation Committee. In addition, if the NEOs exceed by specified amounts</w:t>
      </w:r>
      <w:r>
        <w:rPr>
          <w:spacing w:val="1"/>
        </w:rPr>
        <w:t> </w:t>
      </w:r>
      <w:r>
        <w:rPr/>
        <w:t>certain</w:t>
      </w:r>
      <w:r>
        <w:rPr>
          <w:spacing w:val="-5"/>
        </w:rPr>
        <w:t> </w:t>
      </w:r>
      <w:r>
        <w:rPr/>
        <w:t>operational</w:t>
      </w:r>
      <w:r>
        <w:rPr>
          <w:spacing w:val="-4"/>
        </w:rPr>
        <w:t> </w:t>
      </w:r>
      <w:r>
        <w:rPr/>
        <w:t>targets</w:t>
      </w:r>
      <w:r>
        <w:rPr>
          <w:spacing w:val="-5"/>
        </w:rPr>
        <w:t> </w:t>
      </w:r>
      <w:r>
        <w:rPr/>
        <w:t>relating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core</w:t>
      </w:r>
      <w:r>
        <w:rPr>
          <w:spacing w:val="-5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base</w:t>
      </w:r>
      <w:r>
        <w:rPr>
          <w:spacing w:val="-4"/>
        </w:rPr>
        <w:t> </w:t>
      </w:r>
      <w:r>
        <w:rPr/>
        <w:t>rental</w:t>
      </w:r>
      <w:r>
        <w:rPr>
          <w:spacing w:val="-5"/>
        </w:rPr>
        <w:t> </w:t>
      </w:r>
      <w:r>
        <w:rPr/>
        <w:t>income,</w:t>
      </w:r>
      <w:r>
        <w:rPr>
          <w:spacing w:val="-4"/>
        </w:rPr>
        <w:t> </w:t>
      </w:r>
      <w:r>
        <w:rPr/>
        <w:t>core</w:t>
      </w:r>
      <w:r>
        <w:rPr>
          <w:spacing w:val="-4"/>
        </w:rPr>
        <w:t> </w:t>
      </w:r>
      <w:r>
        <w:rPr/>
        <w:t>resort</w:t>
      </w:r>
      <w:r>
        <w:rPr>
          <w:spacing w:val="-5"/>
        </w:rPr>
        <w:t> </w:t>
      </w:r>
      <w:r>
        <w:rPr/>
        <w:t>base</w:t>
      </w:r>
      <w:r>
        <w:rPr>
          <w:spacing w:val="-4"/>
        </w:rPr>
        <w:t> </w:t>
      </w:r>
      <w:r>
        <w:rPr/>
        <w:t>rental</w:t>
      </w:r>
      <w:r>
        <w:rPr>
          <w:spacing w:val="-5"/>
        </w:rPr>
        <w:t> </w:t>
      </w:r>
      <w:r>
        <w:rPr/>
        <w:t>income,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FFO</w:t>
      </w:r>
      <w:r>
        <w:rPr>
          <w:spacing w:val="1"/>
        </w:rPr>
        <w:t> </w:t>
      </w:r>
      <w:r>
        <w:rPr/>
        <w:t>per share, the total 2022 Cash Bonus potential may be increased by up to an additional $553,284, which would be</w:t>
      </w:r>
      <w:r>
        <w:rPr>
          <w:spacing w:val="1"/>
        </w:rPr>
        <w:t> </w:t>
      </w:r>
      <w:r>
        <w:rPr/>
        <w:t>shared amongst the NEOs. 2022 Cash Bonus payments will be made in cash and will be paid subsequent to the</w:t>
      </w:r>
      <w:r>
        <w:rPr>
          <w:spacing w:val="1"/>
        </w:rPr>
        <w:t> </w:t>
      </w:r>
      <w:r>
        <w:rPr/>
        <w:t>year ending December 31, 2022 after finalization of the Company’s results of operations and upon review and</w:t>
      </w:r>
      <w:r>
        <w:rPr>
          <w:spacing w:val="1"/>
        </w:rPr>
        <w:t> </w:t>
      </w:r>
      <w:r>
        <w:rPr/>
        <w:t>approval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Committee.</w:t>
      </w:r>
    </w:p>
    <w:p>
      <w:pPr>
        <w:pStyle w:val="BodyText"/>
        <w:spacing w:before="6"/>
        <w:rPr>
          <w:sz w:val="18"/>
        </w:rPr>
      </w:pPr>
    </w:p>
    <w:p>
      <w:pPr>
        <w:pStyle w:val="BodyText"/>
        <w:spacing w:line="249" w:lineRule="auto"/>
        <w:ind w:left="250" w:right="376"/>
      </w:pPr>
      <w:r>
        <w:rPr>
          <w:spacing w:val="-1"/>
        </w:rPr>
        <w:t>On February 7, 2022, the Compensation </w:t>
      </w:r>
      <w:r>
        <w:rPr/>
        <w:t>Committee approved the 2022 Restricted Stock Award (the "2022 Award")</w:t>
      </w:r>
      <w:r>
        <w:rPr>
          <w:spacing w:val="-53"/>
        </w:rPr>
        <w:t> </w:t>
      </w:r>
      <w:r>
        <w:rPr/>
        <w:t>in accordance with and pursuant to the authority set forth in the 2014 Equity Incentive Plan. On February 8, 2022,</w:t>
      </w:r>
      <w:r>
        <w:rPr>
          <w:spacing w:val="1"/>
        </w:rPr>
        <w:t> </w:t>
      </w:r>
      <w:r>
        <w:rPr>
          <w:spacing w:val="-1"/>
        </w:rPr>
        <w:t>the NEOs were awarded </w:t>
      </w:r>
      <w:r>
        <w:rPr/>
        <w:t>74,907 shares of Restricted Common Stock in accordance with the 2022 Award as shown</w:t>
      </w:r>
      <w:r>
        <w:rPr>
          <w:spacing w:val="-53"/>
        </w:rPr>
        <w:t> </w:t>
      </w:r>
      <w:r>
        <w:rPr/>
        <w:t>in the table below. The number of shares of Restricted Common Stock awarded was determined by dividing the</w:t>
      </w:r>
      <w:r>
        <w:rPr>
          <w:spacing w:val="1"/>
        </w:rPr>
        <w:t> </w:t>
      </w:r>
      <w:r>
        <w:rPr/>
        <w:t>dollar value of the award by the closing price of the Company's Common Stock on February 8, 2022, or $76.00 per</w:t>
      </w:r>
      <w:r>
        <w:rPr>
          <w:spacing w:val="-53"/>
        </w:rPr>
        <w:t> </w:t>
      </w:r>
      <w:r>
        <w:rPr/>
        <w:t>share.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6"/>
        <w:gridCol w:w="1564"/>
        <w:gridCol w:w="678"/>
        <w:gridCol w:w="2199"/>
        <w:gridCol w:w="2693"/>
      </w:tblGrid>
      <w:tr>
        <w:trPr>
          <w:trHeight w:val="851" w:hRule="atLeast"/>
        </w:trPr>
        <w:tc>
          <w:tcPr>
            <w:tcW w:w="3126" w:type="dxa"/>
            <w:tcBorders>
              <w:bottom w:val="single" w:sz="2" w:space="0" w:color="auto"/>
            </w:tcBorders>
          </w:tcPr>
          <w:p>
            <w:pPr>
              <w:pStyle w:val="TableParagraph"/>
              <w:spacing w:line="179" w:lineRule="exact" w:before="0"/>
              <w:ind w:left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2022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Approval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sz w:val="16"/>
              </w:rPr>
              <w:t>February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7,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  <w:p>
            <w:pPr>
              <w:pStyle w:val="TableParagraph"/>
              <w:spacing w:line="240" w:lineRule="auto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Date:</w:t>
            </w:r>
            <w:r>
              <w:rPr>
                <w:b/>
                <w:spacing w:val="39"/>
                <w:sz w:val="16"/>
              </w:rPr>
              <w:t> </w:t>
            </w:r>
            <w:r>
              <w:rPr>
                <w:sz w:val="16"/>
              </w:rPr>
              <w:t>February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8,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2022</w:t>
            </w:r>
          </w:p>
          <w:p>
            <w:pPr>
              <w:pStyle w:val="TableParagraph"/>
              <w:spacing w:line="161" w:lineRule="exact" w:before="41"/>
              <w:ind w:left="52"/>
              <w:jc w:val="left"/>
              <w:rPr>
                <w:sz w:val="16"/>
              </w:rPr>
            </w:pPr>
            <w:r>
              <w:rPr>
                <w:b/>
                <w:sz w:val="16"/>
              </w:rPr>
              <w:t>Award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Date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Fair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Value:</w:t>
            </w:r>
            <w:r>
              <w:rPr>
                <w:b/>
                <w:spacing w:val="38"/>
                <w:sz w:val="16"/>
              </w:rPr>
              <w:t> </w:t>
            </w:r>
            <w:r>
              <w:rPr>
                <w:sz w:val="16"/>
              </w:rPr>
              <w:t>$76.00</w:t>
            </w:r>
          </w:p>
        </w:tc>
        <w:tc>
          <w:tcPr>
            <w:tcW w:w="7134" w:type="dxa"/>
            <w:gridSpan w:val="4"/>
            <w:tcBorders>
              <w:bottom w:val="single" w:sz="2" w:space="0" w:color="auto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3126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64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left="63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-4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Award</w:t>
            </w:r>
          </w:p>
        </w:tc>
        <w:tc>
          <w:tcPr>
            <w:tcW w:w="678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199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left="17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Time-Based</w:t>
            </w:r>
            <w:r>
              <w:rPr>
                <w:b/>
                <w:color w:val="FFFFFF"/>
                <w:spacing w:val="-2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(a)</w:t>
            </w:r>
          </w:p>
        </w:tc>
        <w:tc>
          <w:tcPr>
            <w:tcW w:w="2693" w:type="dxa"/>
            <w:tcBorders>
              <w:top w:val="single" w:sz="2" w:space="0" w:color="00539E"/>
              <w:bottom w:val="single" w:sz="8" w:space="0" w:color="00539E"/>
            </w:tcBorders>
            <w:shd w:val="clear" w:color="auto" w:fill="00539E"/>
          </w:tcPr>
          <w:p>
            <w:pPr>
              <w:pStyle w:val="TableParagraph"/>
              <w:spacing w:before="69"/>
              <w:ind w:left="16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Performance-Based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Vesting</w:t>
            </w:r>
            <w:r>
              <w:rPr>
                <w:b/>
                <w:color w:val="FFFFFF"/>
                <w:sz w:val="16"/>
                <w:vertAlign w:val="superscript"/>
              </w:rPr>
              <w:t>(b)</w:t>
            </w:r>
          </w:p>
        </w:tc>
      </w:tr>
      <w:tr>
        <w:trPr>
          <w:trHeight w:val="205" w:hRule="atLeast"/>
        </w:trPr>
        <w:tc>
          <w:tcPr>
            <w:tcW w:w="3126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1564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18"/>
              <w:jc w:val="left"/>
              <w:rPr>
                <w:sz w:val="16"/>
              </w:rPr>
            </w:pPr>
            <w:r>
              <w:rPr>
                <w:sz w:val="16"/>
              </w:rPr>
              <w:t>23,931</w:t>
            </w:r>
          </w:p>
        </w:tc>
        <w:tc>
          <w:tcPr>
            <w:tcW w:w="2199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63"/>
              <w:rPr>
                <w:sz w:val="16"/>
              </w:rPr>
            </w:pPr>
            <w:r>
              <w:rPr>
                <w:sz w:val="16"/>
              </w:rPr>
              <w:t>11,965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6"/>
              <w:rPr>
                <w:sz w:val="16"/>
              </w:rPr>
            </w:pPr>
            <w:r>
              <w:rPr>
                <w:sz w:val="16"/>
              </w:rPr>
              <w:t>11,966</w:t>
            </w:r>
          </w:p>
        </w:tc>
      </w:tr>
      <w:tr>
        <w:trPr>
          <w:trHeight w:val="205" w:hRule="atLeast"/>
        </w:trPr>
        <w:tc>
          <w:tcPr>
            <w:tcW w:w="312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18"/>
              <w:jc w:val="left"/>
              <w:rPr>
                <w:sz w:val="16"/>
              </w:rPr>
            </w:pPr>
            <w:r>
              <w:rPr>
                <w:sz w:val="16"/>
              </w:rPr>
              <w:t>18,909</w:t>
            </w:r>
          </w:p>
        </w:tc>
        <w:tc>
          <w:tcPr>
            <w:tcW w:w="219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63"/>
              <w:rPr>
                <w:sz w:val="16"/>
              </w:rPr>
            </w:pPr>
            <w:r>
              <w:rPr>
                <w:sz w:val="16"/>
              </w:rPr>
              <w:t>9,454</w:t>
            </w:r>
          </w:p>
        </w:tc>
        <w:tc>
          <w:tcPr>
            <w:tcW w:w="269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6"/>
              <w:rPr>
                <w:sz w:val="16"/>
              </w:rPr>
            </w:pPr>
            <w:r>
              <w:rPr>
                <w:sz w:val="16"/>
              </w:rPr>
              <w:t>9,455</w:t>
            </w:r>
          </w:p>
        </w:tc>
      </w:tr>
      <w:tr>
        <w:trPr>
          <w:trHeight w:val="205" w:hRule="atLeast"/>
        </w:trPr>
        <w:tc>
          <w:tcPr>
            <w:tcW w:w="312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left="18"/>
              <w:jc w:val="left"/>
              <w:rPr>
                <w:sz w:val="16"/>
              </w:rPr>
            </w:pPr>
            <w:r>
              <w:rPr>
                <w:sz w:val="16"/>
              </w:rPr>
              <w:t>18,909</w:t>
            </w:r>
          </w:p>
        </w:tc>
        <w:tc>
          <w:tcPr>
            <w:tcW w:w="2199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163"/>
              <w:rPr>
                <w:sz w:val="16"/>
              </w:rPr>
            </w:pPr>
            <w:r>
              <w:rPr>
                <w:sz w:val="16"/>
              </w:rPr>
              <w:t>9,454</w:t>
            </w:r>
          </w:p>
        </w:tc>
        <w:tc>
          <w:tcPr>
            <w:tcW w:w="269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154" w:lineRule="exact"/>
              <w:ind w:right="66"/>
              <w:rPr>
                <w:sz w:val="16"/>
              </w:rPr>
            </w:pPr>
            <w:r>
              <w:rPr>
                <w:sz w:val="16"/>
              </w:rPr>
              <w:t>9,455</w:t>
            </w:r>
          </w:p>
        </w:tc>
      </w:tr>
      <w:tr>
        <w:trPr>
          <w:trHeight w:val="219" w:hRule="atLeast"/>
        </w:trPr>
        <w:tc>
          <w:tcPr>
            <w:tcW w:w="3126" w:type="dxa"/>
            <w:tcBorders>
              <w:top w:val="single" w:sz="8" w:space="0" w:color="888A8C"/>
              <w:bottom w:val="single" w:sz="8" w:space="0" w:color="000000"/>
            </w:tcBorders>
          </w:tcPr>
          <w:p>
            <w:pPr>
              <w:pStyle w:val="TableParagraph"/>
              <w:spacing w:line="169" w:lineRule="exact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Eldersveld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678" w:type="dxa"/>
            <w:tcBorders>
              <w:top w:val="single" w:sz="8" w:space="0" w:color="888A8C"/>
              <w:bottom w:val="single" w:sz="8" w:space="0" w:color="000000"/>
            </w:tcBorders>
          </w:tcPr>
          <w:p>
            <w:pPr>
              <w:pStyle w:val="TableParagraph"/>
              <w:spacing w:line="169" w:lineRule="exact"/>
              <w:ind w:left="18"/>
              <w:jc w:val="left"/>
              <w:rPr>
                <w:sz w:val="16"/>
              </w:rPr>
            </w:pPr>
            <w:r>
              <w:rPr>
                <w:sz w:val="16"/>
              </w:rPr>
              <w:t>13,158</w:t>
            </w:r>
          </w:p>
        </w:tc>
        <w:tc>
          <w:tcPr>
            <w:tcW w:w="2199" w:type="dxa"/>
            <w:tcBorders>
              <w:top w:val="single" w:sz="8" w:space="0" w:color="888A8C"/>
              <w:bottom w:val="single" w:sz="8" w:space="0" w:color="000000"/>
            </w:tcBorders>
          </w:tcPr>
          <w:p>
            <w:pPr>
              <w:pStyle w:val="TableParagraph"/>
              <w:spacing w:line="169" w:lineRule="exact"/>
              <w:ind w:right="163"/>
              <w:rPr>
                <w:sz w:val="16"/>
              </w:rPr>
            </w:pPr>
            <w:r>
              <w:rPr>
                <w:sz w:val="16"/>
              </w:rPr>
              <w:t>6,579</w:t>
            </w:r>
          </w:p>
        </w:tc>
        <w:tc>
          <w:tcPr>
            <w:tcW w:w="2693" w:type="dxa"/>
            <w:tcBorders>
              <w:top w:val="single" w:sz="8" w:space="0" w:color="888A8C"/>
              <w:bottom w:val="single" w:sz="8" w:space="0" w:color="000000"/>
            </w:tcBorders>
          </w:tcPr>
          <w:p>
            <w:pPr>
              <w:pStyle w:val="TableParagraph"/>
              <w:spacing w:line="169" w:lineRule="exact"/>
              <w:ind w:right="66"/>
              <w:rPr>
                <w:sz w:val="16"/>
              </w:rPr>
            </w:pPr>
            <w:r>
              <w:rPr>
                <w:sz w:val="16"/>
              </w:rPr>
              <w:t>6,579</w:t>
            </w:r>
          </w:p>
        </w:tc>
      </w:tr>
    </w:tbl>
    <w:p>
      <w:pPr>
        <w:spacing w:line="172" w:lineRule="exact" w:before="72"/>
        <w:ind w:left="302" w:right="0" w:firstLine="0"/>
        <w:jc w:val="left"/>
        <w:rPr>
          <w:sz w:val="16"/>
        </w:rPr>
      </w:pPr>
      <w:r>
        <w:rPr>
          <w:sz w:val="16"/>
          <w:vertAlign w:val="superscript"/>
        </w:rPr>
        <w:t>(a)</w:t>
      </w:r>
      <w:r>
        <w:rPr>
          <w:spacing w:val="10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27,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2023,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vests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26,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2024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and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one-third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vests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on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January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31,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2025.</w:t>
      </w:r>
    </w:p>
    <w:p>
      <w:pPr>
        <w:spacing w:line="208" w:lineRule="auto" w:before="8"/>
        <w:ind w:left="482" w:right="376" w:hanging="180"/>
        <w:jc w:val="left"/>
        <w:rPr>
          <w:sz w:val="16"/>
        </w:rPr>
      </w:pPr>
      <w:r>
        <w:rPr/>
        <w:pict>
          <v:group style="position:absolute;margin-left:49.5pt;margin-top:17.608389pt;width:513pt;height:1pt;mso-position-horizontal-relative:page;mso-position-vertical-relative:paragraph;z-index:-15690240;mso-wrap-distance-left:0;mso-wrap-distance-right:0" id="docshapegroup106" coordorigin="990,352" coordsize="10260,20">
            <v:shape style="position:absolute;left:990;top:362;width:10260;height:2" id="docshape107" coordorigin="990,362" coordsize="10260,0" path="m11250,362l990,362e" filled="true" fillcolor="#000000" stroked="false">
              <v:path arrowok="t"/>
              <v:fill opacity="0f" type="solid"/>
            </v:shape>
            <v:line style="position:absolute" from="990,362" to="11250,362" stroked="true" strokeweight="1pt" strokecolor="#00539e">
              <v:stroke dashstyle="solid"/>
            </v:line>
            <w10:wrap type="topAndBottom"/>
          </v:group>
        </w:pict>
      </w:r>
      <w:r>
        <w:rPr>
          <w:sz w:val="16"/>
          <w:vertAlign w:val="superscript"/>
        </w:rPr>
        <w:t>(b)</w:t>
      </w:r>
      <w:r>
        <w:rPr>
          <w:sz w:val="16"/>
          <w:vertAlign w:val="baseline"/>
        </w:rPr>
        <w:t> One-third vests on January 27, 2023, one-third vests on January 26, 2024 and one-third vests on January 31, 2025, subject to satisfaction of</w:t>
      </w:r>
      <w:r>
        <w:rPr>
          <w:spacing w:val="-42"/>
          <w:sz w:val="16"/>
          <w:vertAlign w:val="baseline"/>
        </w:rPr>
        <w:t> </w:t>
      </w:r>
      <w:r>
        <w:rPr>
          <w:sz w:val="16"/>
          <w:vertAlign w:val="baseline"/>
        </w:rPr>
        <w:t>performance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conditions as further discussed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below.</w:t>
      </w:r>
    </w:p>
    <w:p>
      <w:pPr>
        <w:spacing w:after="0" w:line="208" w:lineRule="auto"/>
        <w:jc w:val="left"/>
        <w:rPr>
          <w:sz w:val="16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250" w:right="356"/>
      </w:pPr>
      <w:r>
        <w:rPr/>
        <w:t>50% of the 2022 Stock Awards are time-based and will vest in equal annual installments on, January 27, 2023,</w:t>
      </w:r>
      <w:r>
        <w:rPr>
          <w:spacing w:val="1"/>
        </w:rPr>
        <w:t> </w:t>
      </w:r>
      <w:r>
        <w:rPr/>
        <w:t>January</w:t>
      </w:r>
      <w:r>
        <w:rPr>
          <w:spacing w:val="-5"/>
        </w:rPr>
        <w:t> </w:t>
      </w:r>
      <w:r>
        <w:rPr/>
        <w:t>26,</w:t>
      </w:r>
      <w:r>
        <w:rPr>
          <w:spacing w:val="-4"/>
        </w:rPr>
        <w:t> </w:t>
      </w:r>
      <w:r>
        <w:rPr/>
        <w:t>2024,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January</w:t>
      </w:r>
      <w:r>
        <w:rPr>
          <w:spacing w:val="-4"/>
        </w:rPr>
        <w:t> </w:t>
      </w:r>
      <w:r>
        <w:rPr/>
        <w:t>31,</w:t>
      </w:r>
      <w:r>
        <w:rPr>
          <w:spacing w:val="-4"/>
        </w:rPr>
        <w:t> </w:t>
      </w:r>
      <w:r>
        <w:rPr/>
        <w:t>2025,</w:t>
      </w:r>
      <w:r>
        <w:rPr>
          <w:spacing w:val="-4"/>
        </w:rPr>
        <w:t> </w:t>
      </w:r>
      <w:r>
        <w:rPr/>
        <w:t>subject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satisfaction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continuous</w:t>
      </w:r>
      <w:r>
        <w:rPr>
          <w:spacing w:val="-4"/>
        </w:rPr>
        <w:t> </w:t>
      </w:r>
      <w:r>
        <w:rPr/>
        <w:t>employment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NEO</w:t>
      </w:r>
      <w:r>
        <w:rPr>
          <w:spacing w:val="-4"/>
        </w:rPr>
        <w:t> </w:t>
      </w:r>
      <w:r>
        <w:rPr/>
        <w:t>during</w:t>
      </w:r>
      <w:r>
        <w:rPr>
          <w:spacing w:val="-4"/>
        </w:rPr>
        <w:t> </w:t>
      </w:r>
      <w:r>
        <w:rPr/>
        <w:t>such</w:t>
      </w:r>
      <w:r>
        <w:rPr>
          <w:spacing w:val="1"/>
        </w:rPr>
        <w:t> </w:t>
      </w:r>
      <w:r>
        <w:rPr/>
        <w:t>explicit service period (the "Service Period Requirement").</w:t>
      </w:r>
      <w:r>
        <w:rPr>
          <w:spacing w:val="55"/>
        </w:rPr>
        <w:t> </w:t>
      </w:r>
      <w:r>
        <w:rPr/>
        <w:t>The time-based portion of the 2022 Awards have a</w:t>
      </w:r>
      <w:r>
        <w:rPr>
          <w:spacing w:val="1"/>
        </w:rPr>
        <w:t> </w:t>
      </w:r>
      <w:r>
        <w:rPr>
          <w:spacing w:val="-1"/>
        </w:rPr>
        <w:t>Grant Date Fair Value of $76.00 </w:t>
      </w:r>
      <w:r>
        <w:rPr/>
        <w:t>per share. The remaining one-half of the 2022 Awards provide for performance-</w:t>
      </w:r>
      <w:r>
        <w:rPr>
          <w:spacing w:val="1"/>
        </w:rPr>
        <w:t> </w:t>
      </w:r>
      <w:r>
        <w:rPr/>
        <w:t>based vesting and will vest in equal annual installments on January 27, 2023, January 26, 2024 and January 31,</w:t>
      </w:r>
      <w:r>
        <w:rPr>
          <w:spacing w:val="1"/>
        </w:rPr>
        <w:t> </w:t>
      </w:r>
      <w:r>
        <w:rPr/>
        <w:t>2025, subject to the satisfaction of the Service Period Requirement and the performance conditions to be</w:t>
      </w:r>
      <w:r>
        <w:rPr>
          <w:spacing w:val="1"/>
        </w:rPr>
        <w:t> </w:t>
      </w:r>
      <w:r>
        <w:rPr/>
        <w:t>established by the Compensation Committee at the beginning of each performance period in 2022, 2023 and 2024.</w:t>
      </w:r>
      <w:r>
        <w:rPr>
          <w:spacing w:val="-53"/>
        </w:rPr>
        <w:t> </w:t>
      </w:r>
      <w:r>
        <w:rPr/>
        <w:t>Effective February 8, 2022, the Compensation Committee established the performance conditions for the 2022</w:t>
      </w:r>
      <w:r>
        <w:rPr>
          <w:spacing w:val="1"/>
        </w:rPr>
        <w:t> </w:t>
      </w:r>
      <w:r>
        <w:rPr/>
        <w:t>performance period as follows: "Achieve Normalized FFO per Common Share (fully diluted) for the year ending</w:t>
      </w:r>
      <w:r>
        <w:rPr>
          <w:spacing w:val="1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31,</w:t>
      </w:r>
      <w:r>
        <w:rPr>
          <w:spacing w:val="-1"/>
        </w:rPr>
        <w:t> </w:t>
      </w:r>
      <w:r>
        <w:rPr/>
        <w:t>2022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$2.64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$2.74."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249" w:lineRule="auto"/>
        <w:ind w:left="250" w:right="282"/>
      </w:pPr>
      <w:r>
        <w:rPr/>
        <w:t>On February 10, 2022, the Company announced the retirement of Mr. Maynard effective March 31, 2022.</w:t>
      </w:r>
      <w:r>
        <w:rPr>
          <w:spacing w:val="1"/>
        </w:rPr>
        <w:t> </w:t>
      </w:r>
      <w:r>
        <w:rPr/>
        <w:t>Mr.</w:t>
      </w:r>
      <w:r>
        <w:rPr>
          <w:spacing w:val="1"/>
        </w:rPr>
        <w:t> </w:t>
      </w:r>
      <w:r>
        <w:rPr/>
        <w:t>Maynard's 2022 Base Salary will remain the same as 2021 through his retirement on March 31, 2022. On February</w:t>
      </w:r>
      <w:r>
        <w:rPr>
          <w:spacing w:val="1"/>
        </w:rPr>
        <w:t> </w:t>
      </w:r>
      <w:r>
        <w:rPr/>
        <w:t>10, 2022, Mr. Maynard and the Company entered into, effective March 31, 2022, a twelve-month consulting</w:t>
      </w:r>
      <w:r>
        <w:rPr>
          <w:spacing w:val="1"/>
        </w:rPr>
        <w:t> </w:t>
      </w:r>
      <w:r>
        <w:rPr>
          <w:spacing w:val="-1"/>
        </w:rPr>
        <w:t>agreement (the "Consulting Agreement"), which may </w:t>
      </w:r>
      <w:r>
        <w:rPr/>
        <w:t>be extended by the mutual agreement of the parties.</w:t>
      </w:r>
      <w:r>
        <w:rPr>
          <w:spacing w:val="1"/>
        </w:rPr>
        <w:t> </w:t>
      </w:r>
      <w:r>
        <w:rPr/>
        <w:t>Pursuant</w:t>
      </w:r>
      <w:r>
        <w:rPr>
          <w:spacing w:val="-53"/>
        </w:rPr>
        <w:t> </w:t>
      </w:r>
      <w:r>
        <w:rPr/>
        <w:t>to the Consulting Agreement, Mr. Maynard will provide services at the request of our CEO, primarily related to</w:t>
      </w:r>
      <w:r>
        <w:rPr>
          <w:spacing w:val="1"/>
        </w:rPr>
        <w:t> </w:t>
      </w:r>
      <w:r>
        <w:rPr>
          <w:spacing w:val="-1"/>
        </w:rPr>
        <w:t>acquisition </w:t>
      </w:r>
      <w:r>
        <w:rPr/>
        <w:t>and development related projects and initiatives. Under the terms of the Consulting Agreement, the</w:t>
      </w:r>
      <w:r>
        <w:rPr>
          <w:spacing w:val="1"/>
        </w:rPr>
        <w:t> </w:t>
      </w:r>
      <w:r>
        <w:rPr/>
        <w:t>Company will pay Mr. Maynard consulting fees of $83,333 per month and reimbursement of expenses for his</w:t>
      </w:r>
      <w:r>
        <w:rPr>
          <w:spacing w:val="1"/>
        </w:rPr>
        <w:t> </w:t>
      </w:r>
      <w:r>
        <w:rPr/>
        <w:t>services plus an annual bonus opportunity of $200,000. Information regarding Mr. Maynard's retirement and the</w:t>
      </w:r>
      <w:r>
        <w:rPr>
          <w:spacing w:val="1"/>
        </w:rPr>
        <w:t> </w:t>
      </w:r>
      <w:r>
        <w:rPr/>
        <w:t>Consulting</w:t>
      </w:r>
      <w:r>
        <w:rPr>
          <w:spacing w:val="-13"/>
        </w:rPr>
        <w:t> </w:t>
      </w:r>
      <w:r>
        <w:rPr/>
        <w:t>Agreement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filed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Form</w:t>
      </w:r>
      <w:r>
        <w:rPr>
          <w:spacing w:val="-2"/>
        </w:rPr>
        <w:t> </w:t>
      </w:r>
      <w:r>
        <w:rPr/>
        <w:t>8-K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SEC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February</w:t>
      </w:r>
      <w:r>
        <w:rPr>
          <w:spacing w:val="-2"/>
        </w:rPr>
        <w:t> </w:t>
      </w:r>
      <w:r>
        <w:rPr/>
        <w:t>11,</w:t>
      </w:r>
      <w:r>
        <w:rPr>
          <w:spacing w:val="-2"/>
        </w:rPr>
        <w:t> </w:t>
      </w:r>
      <w:r>
        <w:rPr/>
        <w:t>2022.</w:t>
      </w:r>
    </w:p>
    <w:p>
      <w:pPr>
        <w:pStyle w:val="BodyText"/>
        <w:rPr>
          <w:sz w:val="22"/>
        </w:rPr>
      </w:pPr>
    </w:p>
    <w:p>
      <w:pPr>
        <w:pStyle w:val="BodyText"/>
        <w:spacing w:before="10"/>
        <w:rPr>
          <w:sz w:val="24"/>
        </w:rPr>
      </w:pPr>
    </w:p>
    <w:p>
      <w:pPr>
        <w:pStyle w:val="Heading1"/>
        <w:spacing w:before="0"/>
        <w:ind w:left="2673"/>
      </w:pPr>
      <w:bookmarkStart w:name="Compensation Committee Report" w:id="56"/>
      <w:bookmarkEnd w:id="56"/>
      <w:r>
        <w:rPr>
          <w:b w:val="0"/>
        </w:rPr>
      </w:r>
      <w:bookmarkStart w:name="_bookmark24" w:id="57"/>
      <w:bookmarkEnd w:id="57"/>
      <w:r>
        <w:rPr>
          <w:b w:val="0"/>
        </w:rPr>
      </w:r>
      <w:r>
        <w:rPr>
          <w:color w:val="00539E"/>
        </w:rPr>
        <w:t>COMPENSATION</w:t>
      </w:r>
      <w:r>
        <w:rPr>
          <w:color w:val="00539E"/>
          <w:spacing w:val="-3"/>
        </w:rPr>
        <w:t> </w:t>
      </w:r>
      <w:r>
        <w:rPr>
          <w:color w:val="00539E"/>
        </w:rPr>
        <w:t>COMMITTEE</w:t>
      </w:r>
      <w:r>
        <w:rPr>
          <w:color w:val="00539E"/>
          <w:spacing w:val="-3"/>
        </w:rPr>
        <w:t> </w:t>
      </w:r>
      <w:r>
        <w:rPr>
          <w:color w:val="00539E"/>
        </w:rPr>
        <w:t>REPORT</w:t>
      </w:r>
    </w:p>
    <w:p>
      <w:pPr>
        <w:pStyle w:val="BodyText"/>
        <w:spacing w:line="261" w:lineRule="auto" w:before="220"/>
        <w:ind w:left="250" w:right="402"/>
      </w:pPr>
      <w:r>
        <w:rPr>
          <w:spacing w:val="-1"/>
        </w:rPr>
        <w:t>The Compensation Committee has reviewed </w:t>
      </w:r>
      <w:r>
        <w:rPr/>
        <w:t>and discussed the foregoing Compensation Discussion and Analysis</w:t>
      </w:r>
      <w:r>
        <w:rPr>
          <w:spacing w:val="-53"/>
        </w:rPr>
        <w:t> </w:t>
      </w:r>
      <w:r>
        <w:rPr/>
        <w:t>with management. Based on our review and discussion with management, we have recommended to the Board</w:t>
      </w:r>
      <w:r>
        <w:rPr>
          <w:spacing w:val="1"/>
        </w:rPr>
        <w:t> </w:t>
      </w:r>
      <w:r>
        <w:rPr>
          <w:spacing w:val="-1"/>
        </w:rPr>
        <w:t>that the Compensation </w:t>
      </w:r>
      <w:r>
        <w:rPr/>
        <w:t>Discussion and Analysis be included in this Proxy Statement on Schedule 14A and in the</w:t>
      </w:r>
      <w:r>
        <w:rPr>
          <w:spacing w:val="1"/>
        </w:rPr>
        <w:t> </w:t>
      </w:r>
      <w:r>
        <w:rPr/>
        <w:t>Company’s</w:t>
      </w:r>
      <w:r>
        <w:rPr>
          <w:spacing w:val="-13"/>
        </w:rPr>
        <w:t> </w:t>
      </w:r>
      <w:r>
        <w:rPr/>
        <w:t>Annual</w:t>
      </w:r>
      <w:r>
        <w:rPr>
          <w:spacing w:val="-2"/>
        </w:rPr>
        <w:t> </w:t>
      </w:r>
      <w:r>
        <w:rPr/>
        <w:t>Report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Form</w:t>
      </w:r>
      <w:r>
        <w:rPr>
          <w:spacing w:val="-2"/>
        </w:rPr>
        <w:t> </w:t>
      </w:r>
      <w:r>
        <w:rPr/>
        <w:t>10-K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year</w:t>
      </w:r>
      <w:r>
        <w:rPr>
          <w:spacing w:val="-1"/>
        </w:rPr>
        <w:t> </w:t>
      </w:r>
      <w:r>
        <w:rPr/>
        <w:t>ended</w:t>
      </w:r>
      <w:r>
        <w:rPr>
          <w:spacing w:val="-2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31,</w:t>
      </w:r>
      <w:r>
        <w:rPr>
          <w:spacing w:val="-1"/>
        </w:rPr>
        <w:t> </w:t>
      </w:r>
      <w:r>
        <w:rPr/>
        <w:t>2021.</w:t>
      </w:r>
    </w:p>
    <w:p>
      <w:pPr>
        <w:pStyle w:val="BodyText"/>
        <w:rPr>
          <w:sz w:val="22"/>
        </w:rPr>
      </w:pPr>
    </w:p>
    <w:p>
      <w:pPr>
        <w:spacing w:before="141"/>
        <w:ind w:left="250" w:right="0" w:firstLine="0"/>
        <w:jc w:val="left"/>
        <w:rPr>
          <w:i/>
          <w:sz w:val="20"/>
        </w:rPr>
      </w:pPr>
      <w:r>
        <w:rPr>
          <w:i/>
          <w:sz w:val="20"/>
        </w:rPr>
        <w:t>Respectfully</w:t>
      </w:r>
      <w:r>
        <w:rPr>
          <w:i/>
          <w:spacing w:val="-9"/>
          <w:sz w:val="20"/>
        </w:rPr>
        <w:t> </w:t>
      </w:r>
      <w:r>
        <w:rPr>
          <w:i/>
          <w:sz w:val="20"/>
        </w:rPr>
        <w:t>submitted,</w:t>
      </w:r>
    </w:p>
    <w:p>
      <w:pPr>
        <w:pStyle w:val="BodyText"/>
        <w:spacing w:before="8"/>
        <w:rPr>
          <w:i/>
          <w:sz w:val="21"/>
        </w:rPr>
      </w:pPr>
    </w:p>
    <w:p>
      <w:pPr>
        <w:pStyle w:val="BodyText"/>
        <w:spacing w:line="249" w:lineRule="auto"/>
        <w:ind w:left="250" w:right="8616"/>
      </w:pPr>
      <w:r>
        <w:rPr/>
        <w:t>David Contis, Chair</w:t>
      </w:r>
      <w:r>
        <w:rPr>
          <w:spacing w:val="1"/>
        </w:rPr>
        <w:t> </w:t>
      </w:r>
      <w:r>
        <w:rPr/>
        <w:t>Philip Calian</w:t>
      </w:r>
      <w:r>
        <w:rPr>
          <w:spacing w:val="1"/>
        </w:rPr>
        <w:t> </w:t>
      </w:r>
      <w:r>
        <w:rPr/>
        <w:t>Constance</w:t>
      </w:r>
      <w:r>
        <w:rPr>
          <w:spacing w:val="-10"/>
        </w:rPr>
        <w:t> </w:t>
      </w:r>
      <w:r>
        <w:rPr/>
        <w:t>Freedman</w:t>
      </w:r>
      <w:r>
        <w:rPr>
          <w:spacing w:val="-53"/>
        </w:rPr>
        <w:t> </w:t>
      </w:r>
      <w:r>
        <w:rPr/>
        <w:t>Sheli</w:t>
      </w:r>
      <w:r>
        <w:rPr>
          <w:spacing w:val="-3"/>
        </w:rPr>
        <w:t> </w:t>
      </w:r>
      <w:r>
        <w:rPr/>
        <w:t>Rosenberg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Heading1"/>
      </w:pPr>
      <w:bookmarkStart w:name="Executive Compensation" w:id="58"/>
      <w:bookmarkEnd w:id="58"/>
      <w:r>
        <w:rPr>
          <w:b w:val="0"/>
        </w:rPr>
      </w:r>
      <w:bookmarkStart w:name="Summary Compensation Table" w:id="59"/>
      <w:bookmarkEnd w:id="59"/>
      <w:r>
        <w:rPr>
          <w:b w:val="0"/>
        </w:rPr>
      </w:r>
      <w:bookmarkStart w:name="_bookmark25" w:id="60"/>
      <w:bookmarkEnd w:id="60"/>
      <w:r>
        <w:rPr>
          <w:b w:val="0"/>
        </w:rPr>
      </w:r>
      <w:bookmarkStart w:name="_bookmark26" w:id="61"/>
      <w:bookmarkEnd w:id="61"/>
      <w:r>
        <w:rPr>
          <w:b w:val="0"/>
        </w:rPr>
      </w:r>
      <w:r>
        <w:rPr>
          <w:color w:val="00539E"/>
        </w:rPr>
        <w:t>EXECUTIVE</w:t>
      </w:r>
      <w:r>
        <w:rPr>
          <w:color w:val="00539E"/>
          <w:spacing w:val="-5"/>
        </w:rPr>
        <w:t> </w:t>
      </w:r>
      <w:r>
        <w:rPr>
          <w:color w:val="00539E"/>
        </w:rPr>
        <w:t>COMPENSATION</w:t>
      </w:r>
    </w:p>
    <w:p>
      <w:pPr>
        <w:pStyle w:val="Heading2"/>
        <w:spacing w:before="212"/>
      </w:pPr>
      <w:r>
        <w:rPr>
          <w:color w:val="00539E"/>
        </w:rPr>
        <w:t>Summary</w:t>
      </w:r>
      <w:r>
        <w:rPr>
          <w:color w:val="00539E"/>
          <w:spacing w:val="-4"/>
        </w:rPr>
        <w:t> </w:t>
      </w:r>
      <w:r>
        <w:rPr>
          <w:color w:val="00539E"/>
        </w:rPr>
        <w:t>Compensation</w:t>
      </w:r>
      <w:r>
        <w:rPr>
          <w:color w:val="00539E"/>
          <w:spacing w:val="-3"/>
        </w:rPr>
        <w:t> </w:t>
      </w:r>
      <w:r>
        <w:rPr>
          <w:color w:val="00539E"/>
        </w:rPr>
        <w:t>Table</w:t>
      </w:r>
    </w:p>
    <w:p>
      <w:pPr>
        <w:pStyle w:val="BodyText"/>
        <w:spacing w:before="221"/>
        <w:ind w:left="250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6"/>
        </w:rPr>
        <w:t> </w:t>
      </w:r>
      <w:r>
        <w:rPr/>
        <w:t>table</w:t>
      </w:r>
      <w:r>
        <w:rPr>
          <w:spacing w:val="-5"/>
        </w:rPr>
        <w:t> </w:t>
      </w:r>
      <w:r>
        <w:rPr/>
        <w:t>includes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concerning</w:t>
      </w:r>
      <w:r>
        <w:rPr>
          <w:spacing w:val="-5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paid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earned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year</w:t>
      </w:r>
      <w:r>
        <w:rPr>
          <w:spacing w:val="-5"/>
        </w:rPr>
        <w:t> </w:t>
      </w:r>
      <w:r>
        <w:rPr/>
        <w:t>ended</w:t>
      </w:r>
    </w:p>
    <w:p>
      <w:pPr>
        <w:pStyle w:val="BodyText"/>
        <w:spacing w:line="249" w:lineRule="auto" w:before="10"/>
        <w:ind w:left="250"/>
      </w:pPr>
      <w:r>
        <w:rPr/>
        <w:t>December</w:t>
      </w:r>
      <w:r>
        <w:rPr>
          <w:spacing w:val="-7"/>
        </w:rPr>
        <w:t> </w:t>
      </w:r>
      <w:r>
        <w:rPr/>
        <w:t>31,</w:t>
      </w:r>
      <w:r>
        <w:rPr>
          <w:spacing w:val="-6"/>
        </w:rPr>
        <w:t> </w:t>
      </w:r>
      <w:r>
        <w:rPr/>
        <w:t>2021</w:t>
      </w:r>
      <w:r>
        <w:rPr>
          <w:spacing w:val="-6"/>
        </w:rPr>
        <w:t> </w:t>
      </w:r>
      <w:r>
        <w:rPr/>
        <w:t>by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Company's</w:t>
      </w:r>
      <w:r>
        <w:rPr>
          <w:spacing w:val="-6"/>
        </w:rPr>
        <w:t> </w:t>
      </w:r>
      <w:r>
        <w:rPr/>
        <w:t>Chief</w:t>
      </w:r>
      <w:r>
        <w:rPr>
          <w:spacing w:val="-7"/>
        </w:rPr>
        <w:t> </w:t>
      </w:r>
      <w:r>
        <w:rPr/>
        <w:t>Executive</w:t>
      </w:r>
      <w:r>
        <w:rPr>
          <w:spacing w:val="-6"/>
        </w:rPr>
        <w:t> </w:t>
      </w:r>
      <w:r>
        <w:rPr/>
        <w:t>Officer,</w:t>
      </w:r>
      <w:r>
        <w:rPr>
          <w:spacing w:val="-6"/>
        </w:rPr>
        <w:t> </w:t>
      </w:r>
      <w:r>
        <w:rPr/>
        <w:t>Chief</w:t>
      </w:r>
      <w:r>
        <w:rPr>
          <w:spacing w:val="-7"/>
        </w:rPr>
        <w:t> </w:t>
      </w:r>
      <w:r>
        <w:rPr/>
        <w:t>Financial</w:t>
      </w:r>
      <w:r>
        <w:rPr>
          <w:spacing w:val="-6"/>
        </w:rPr>
        <w:t> </w:t>
      </w:r>
      <w:r>
        <w:rPr/>
        <w:t>Officer,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those</w:t>
      </w:r>
      <w:r>
        <w:rPr>
          <w:spacing w:val="-7"/>
        </w:rPr>
        <w:t> </w:t>
      </w:r>
      <w:r>
        <w:rPr/>
        <w:t>other</w:t>
      </w:r>
      <w:r>
        <w:rPr>
          <w:spacing w:val="-6"/>
        </w:rPr>
        <w:t> </w:t>
      </w:r>
      <w:r>
        <w:rPr/>
        <w:t>persons</w:t>
      </w:r>
      <w:r>
        <w:rPr>
          <w:spacing w:val="-6"/>
        </w:rPr>
        <w:t> </w:t>
      </w:r>
      <w:r>
        <w:rPr/>
        <w:t>who</w:t>
      </w:r>
      <w:r>
        <w:rPr>
          <w:spacing w:val="1"/>
        </w:rPr>
        <w:t> </w:t>
      </w:r>
      <w:r>
        <w:rPr/>
        <w:t>were,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/>
        <w:t>December</w:t>
      </w:r>
      <w:r>
        <w:rPr>
          <w:spacing w:val="-3"/>
        </w:rPr>
        <w:t> </w:t>
      </w:r>
      <w:r>
        <w:rPr/>
        <w:t>31,</w:t>
      </w:r>
      <w:r>
        <w:rPr>
          <w:spacing w:val="-2"/>
        </w:rPr>
        <w:t> </w:t>
      </w:r>
      <w:r>
        <w:rPr/>
        <w:t>2021,</w:t>
      </w:r>
      <w:r>
        <w:rPr>
          <w:spacing w:val="-2"/>
        </w:rPr>
        <w:t> </w:t>
      </w:r>
      <w:r>
        <w:rPr/>
        <w:t>Executive</w:t>
      </w:r>
      <w:r>
        <w:rPr>
          <w:spacing w:val="-3"/>
        </w:rPr>
        <w:t> </w:t>
      </w:r>
      <w:r>
        <w:rPr/>
        <w:t>Officers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Company,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we</w:t>
      </w:r>
      <w:r>
        <w:rPr>
          <w:spacing w:val="-3"/>
        </w:rPr>
        <w:t> </w:t>
      </w:r>
      <w:r>
        <w:rPr/>
        <w:t>refer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NEOs.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The Company has not entered into any employment agreements with any of the NEOs. When setting total</w:t>
      </w:r>
      <w:r>
        <w:rPr>
          <w:spacing w:val="1"/>
        </w:rPr>
        <w:t> </w:t>
      </w:r>
      <w:r>
        <w:rPr/>
        <w:t>compensation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NEOs,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Committee</w:t>
      </w:r>
      <w:r>
        <w:rPr>
          <w:spacing w:val="-5"/>
        </w:rPr>
        <w:t> </w:t>
      </w:r>
      <w:r>
        <w:rPr/>
        <w:t>reviews</w:t>
      </w:r>
      <w:r>
        <w:rPr>
          <w:spacing w:val="-5"/>
        </w:rPr>
        <w:t> </w:t>
      </w:r>
      <w:r>
        <w:rPr/>
        <w:t>all</w:t>
      </w:r>
      <w:r>
        <w:rPr>
          <w:spacing w:val="-5"/>
        </w:rPr>
        <w:t> </w:t>
      </w:r>
      <w:r>
        <w:rPr/>
        <w:t>components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compensation,</w:t>
      </w:r>
      <w:r>
        <w:rPr>
          <w:spacing w:val="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equity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non-equity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compensation.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9" w:lineRule="auto"/>
        <w:ind w:left="250" w:right="503"/>
      </w:pPr>
      <w:r>
        <w:rPr/>
        <w:t>In</w:t>
      </w:r>
      <w:r>
        <w:rPr>
          <w:spacing w:val="-5"/>
        </w:rPr>
        <w:t> </w:t>
      </w:r>
      <w:r>
        <w:rPr/>
        <w:t>January</w:t>
      </w:r>
      <w:r>
        <w:rPr>
          <w:spacing w:val="-5"/>
        </w:rPr>
        <w:t> </w:t>
      </w:r>
      <w:r>
        <w:rPr/>
        <w:t>2020,</w:t>
      </w:r>
      <w:r>
        <w:rPr>
          <w:spacing w:val="-5"/>
        </w:rPr>
        <w:t> </w:t>
      </w:r>
      <w:r>
        <w:rPr/>
        <w:t>2021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2022,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Committee</w:t>
      </w:r>
      <w:r>
        <w:rPr>
          <w:spacing w:val="-5"/>
        </w:rPr>
        <w:t> </w:t>
      </w:r>
      <w:r>
        <w:rPr/>
        <w:t>approved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final</w:t>
      </w:r>
      <w:r>
        <w:rPr>
          <w:spacing w:val="-5"/>
        </w:rPr>
        <w:t> </w:t>
      </w:r>
      <w:r>
        <w:rPr/>
        <w:t>short-term</w:t>
      </w:r>
      <w:r>
        <w:rPr>
          <w:spacing w:val="-5"/>
        </w:rPr>
        <w:t> </w:t>
      </w:r>
      <w:r>
        <w:rPr/>
        <w:t>incentive</w:t>
      </w:r>
      <w:r>
        <w:rPr>
          <w:spacing w:val="-5"/>
        </w:rPr>
        <w:t> </w:t>
      </w:r>
      <w:r>
        <w:rPr/>
        <w:t>plan</w:t>
      </w:r>
      <w:r>
        <w:rPr>
          <w:spacing w:val="-4"/>
        </w:rPr>
        <w:t> </w:t>
      </w:r>
      <w:r>
        <w:rPr/>
        <w:t>Cash</w:t>
      </w:r>
      <w:r>
        <w:rPr>
          <w:spacing w:val="1"/>
        </w:rPr>
        <w:t> </w:t>
      </w:r>
      <w:r>
        <w:rPr/>
        <w:t>Bonus payments for each NEO, with the substantial majority of such payments being based on pre-established</w:t>
      </w:r>
      <w:r>
        <w:rPr>
          <w:spacing w:val="1"/>
        </w:rPr>
        <w:t> </w:t>
      </w:r>
      <w:r>
        <w:rPr/>
        <w:t>performance targets.</w:t>
      </w:r>
      <w:r>
        <w:rPr>
          <w:spacing w:val="1"/>
        </w:rPr>
        <w:t> </w:t>
      </w:r>
      <w:r>
        <w:rPr/>
        <w:t>Such annual performance-based Cash Bonus payments are characterized as "Non-Equity</w:t>
      </w:r>
      <w:r>
        <w:rPr>
          <w:spacing w:val="1"/>
        </w:rPr>
        <w:t> </w:t>
      </w:r>
      <w:r>
        <w:rPr/>
        <w:t>Incentive Plan Compensation" in the table. Total compensation amounts include the fair value of the Restricted</w:t>
      </w:r>
      <w:r>
        <w:rPr>
          <w:spacing w:val="1"/>
        </w:rPr>
        <w:t> </w:t>
      </w:r>
      <w:r>
        <w:rPr/>
        <w:t>Stock Awards granted to the NEOs, with such grants being shown in the table in the year of grant, which for the</w:t>
      </w:r>
      <w:r>
        <w:rPr>
          <w:spacing w:val="1"/>
        </w:rPr>
        <w:t> </w:t>
      </w:r>
      <w:r>
        <w:rPr>
          <w:spacing w:val="-1"/>
        </w:rPr>
        <w:t>performance-based </w:t>
      </w:r>
      <w:r>
        <w:rPr/>
        <w:t>portion of the Awards is the year in which the performance conditions were approved by the</w:t>
      </w:r>
      <w:r>
        <w:rPr>
          <w:spacing w:val="1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Committee.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For the years ended December 31, 2021, 2020 and 2019, Base Salary (Salary) accounted for approximately 16%,</w:t>
      </w:r>
      <w:r>
        <w:rPr>
          <w:spacing w:val="1"/>
        </w:rPr>
        <w:t> </w:t>
      </w:r>
      <w:r>
        <w:rPr/>
        <w:t>16% and 19%, respectively, of total compensation; Equity Compensation (Stock Awards) accounted for</w:t>
      </w:r>
      <w:r>
        <w:rPr>
          <w:spacing w:val="1"/>
        </w:rPr>
        <w:t> </w:t>
      </w:r>
      <w:r>
        <w:rPr/>
        <w:t>approximately</w:t>
      </w:r>
      <w:r>
        <w:rPr>
          <w:spacing w:val="-7"/>
        </w:rPr>
        <w:t> </w:t>
      </w:r>
      <w:r>
        <w:rPr/>
        <w:t>47%,</w:t>
      </w:r>
      <w:r>
        <w:rPr>
          <w:spacing w:val="-6"/>
        </w:rPr>
        <w:t> </w:t>
      </w:r>
      <w:r>
        <w:rPr/>
        <w:t>58%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51%,</w:t>
      </w:r>
      <w:r>
        <w:rPr>
          <w:spacing w:val="-7"/>
        </w:rPr>
        <w:t> </w:t>
      </w:r>
      <w:r>
        <w:rPr/>
        <w:t>respectively,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total</w:t>
      </w:r>
      <w:r>
        <w:rPr>
          <w:spacing w:val="-6"/>
        </w:rPr>
        <w:t> </w:t>
      </w:r>
      <w:r>
        <w:rPr/>
        <w:t>compensation;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Cash</w:t>
      </w:r>
      <w:r>
        <w:rPr>
          <w:spacing w:val="-6"/>
        </w:rPr>
        <w:t> </w:t>
      </w:r>
      <w:r>
        <w:rPr/>
        <w:t>Bonus</w:t>
      </w:r>
      <w:r>
        <w:rPr>
          <w:spacing w:val="-6"/>
        </w:rPr>
        <w:t> </w:t>
      </w:r>
      <w:r>
        <w:rPr/>
        <w:t>(Non-Equity</w:t>
      </w:r>
      <w:r>
        <w:rPr>
          <w:spacing w:val="-6"/>
        </w:rPr>
        <w:t> </w:t>
      </w:r>
      <w:r>
        <w:rPr/>
        <w:t>Incentive</w:t>
      </w:r>
      <w:r>
        <w:rPr>
          <w:spacing w:val="-6"/>
        </w:rPr>
        <w:t> </w:t>
      </w:r>
      <w:r>
        <w:rPr/>
        <w:t>Plan</w:t>
      </w:r>
      <w:r>
        <w:rPr>
          <w:spacing w:val="1"/>
        </w:rPr>
        <w:t> </w:t>
      </w:r>
      <w:r>
        <w:rPr/>
        <w:t>Compensation)</w:t>
      </w:r>
      <w:r>
        <w:rPr>
          <w:spacing w:val="-4"/>
        </w:rPr>
        <w:t> </w:t>
      </w:r>
      <w:r>
        <w:rPr/>
        <w:t>accounted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approximately</w:t>
      </w:r>
      <w:r>
        <w:rPr>
          <w:spacing w:val="-3"/>
        </w:rPr>
        <w:t> </w:t>
      </w:r>
      <w:r>
        <w:rPr/>
        <w:t>37%,</w:t>
      </w:r>
      <w:r>
        <w:rPr>
          <w:spacing w:val="-3"/>
        </w:rPr>
        <w:t> </w:t>
      </w:r>
      <w:r>
        <w:rPr/>
        <w:t>26%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30%,</w:t>
      </w:r>
      <w:r>
        <w:rPr>
          <w:spacing w:val="-3"/>
        </w:rPr>
        <w:t> </w:t>
      </w:r>
      <w:r>
        <w:rPr/>
        <w:t>respectively,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compensation.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2"/>
        </w:rPr>
      </w:pPr>
    </w:p>
    <w:p>
      <w:pPr>
        <w:tabs>
          <w:tab w:pos="8090" w:val="left" w:leader="none"/>
        </w:tabs>
        <w:spacing w:before="0"/>
        <w:ind w:left="6266" w:right="0" w:firstLine="0"/>
        <w:jc w:val="left"/>
        <w:rPr>
          <w:b/>
          <w:sz w:val="16"/>
        </w:rPr>
      </w:pPr>
      <w:r>
        <w:rPr>
          <w:b/>
          <w:sz w:val="16"/>
        </w:rPr>
        <w:t>Non-Equity</w:t>
        <w:tab/>
        <w:t>All</w:t>
      </w: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9"/>
        <w:gridCol w:w="1002"/>
        <w:gridCol w:w="1057"/>
        <w:gridCol w:w="1187"/>
        <w:gridCol w:w="1588"/>
        <w:gridCol w:w="1673"/>
        <w:gridCol w:w="1189"/>
      </w:tblGrid>
      <w:tr>
        <w:trPr>
          <w:trHeight w:val="179" w:hRule="atLeast"/>
        </w:trPr>
        <w:tc>
          <w:tcPr>
            <w:tcW w:w="2369" w:type="dxa"/>
          </w:tcPr>
          <w:p>
            <w:pPr>
              <w:pStyle w:val="TableParagraph"/>
              <w:spacing w:line="140" w:lineRule="exact" w:before="0"/>
              <w:ind w:left="494" w:right="3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Name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and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Principal</w:t>
            </w:r>
          </w:p>
        </w:tc>
        <w:tc>
          <w:tcPr>
            <w:tcW w:w="1002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057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1187" w:type="dxa"/>
          </w:tcPr>
          <w:p>
            <w:pPr>
              <w:pStyle w:val="TableParagraph"/>
              <w:spacing w:line="140" w:lineRule="exact" w:before="0"/>
              <w:ind w:left="261" w:right="14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Stock</w:t>
            </w:r>
          </w:p>
        </w:tc>
        <w:tc>
          <w:tcPr>
            <w:tcW w:w="1588" w:type="dxa"/>
          </w:tcPr>
          <w:p>
            <w:pPr>
              <w:pStyle w:val="TableParagraph"/>
              <w:spacing w:line="140" w:lineRule="exact" w:before="0"/>
              <w:ind w:left="169" w:right="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Incentive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</w:p>
        </w:tc>
        <w:tc>
          <w:tcPr>
            <w:tcW w:w="1673" w:type="dxa"/>
          </w:tcPr>
          <w:p>
            <w:pPr>
              <w:pStyle w:val="TableParagraph"/>
              <w:spacing w:line="140" w:lineRule="exact" w:before="0"/>
              <w:ind w:left="104" w:right="2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Other</w:t>
            </w:r>
          </w:p>
        </w:tc>
        <w:tc>
          <w:tcPr>
            <w:tcW w:w="1189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2"/>
              </w:rPr>
            </w:pPr>
          </w:p>
        </w:tc>
      </w:tr>
      <w:tr>
        <w:trPr>
          <w:trHeight w:val="199" w:hRule="atLeast"/>
        </w:trPr>
        <w:tc>
          <w:tcPr>
            <w:tcW w:w="2369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41" w:lineRule="exact" w:before="0"/>
              <w:ind w:left="493" w:right="3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Position</w:t>
            </w:r>
            <w:r>
              <w:rPr>
                <w:b/>
                <w:sz w:val="16"/>
                <w:vertAlign w:val="superscript"/>
              </w:rPr>
              <w:t>(1)</w:t>
            </w:r>
          </w:p>
        </w:tc>
        <w:tc>
          <w:tcPr>
            <w:tcW w:w="1002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41" w:lineRule="exact" w:before="0"/>
              <w:ind w:left="37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Year</w:t>
            </w:r>
          </w:p>
        </w:tc>
        <w:tc>
          <w:tcPr>
            <w:tcW w:w="1057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41" w:lineRule="exact" w:before="0"/>
              <w:ind w:left="281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Salary</w:t>
            </w:r>
          </w:p>
        </w:tc>
        <w:tc>
          <w:tcPr>
            <w:tcW w:w="1187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41" w:lineRule="exact" w:before="0"/>
              <w:ind w:left="261" w:right="149"/>
              <w:jc w:val="center"/>
              <w:rPr>
                <w:b/>
                <w:sz w:val="16"/>
              </w:rPr>
            </w:pPr>
            <w:r>
              <w:rPr>
                <w:b/>
                <w:w w:val="105"/>
                <w:sz w:val="16"/>
              </w:rPr>
              <w:t>Awards</w:t>
            </w:r>
            <w:r>
              <w:rPr>
                <w:b/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1588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41" w:lineRule="exact" w:before="0"/>
              <w:ind w:left="169" w:right="10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Compensation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  <w:vertAlign w:val="superscript"/>
              </w:rPr>
              <w:t>(3)</w:t>
            </w:r>
          </w:p>
        </w:tc>
        <w:tc>
          <w:tcPr>
            <w:tcW w:w="1673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41" w:lineRule="exact" w:before="0"/>
              <w:ind w:left="104" w:right="29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Compensation</w:t>
            </w:r>
            <w:r>
              <w:rPr>
                <w:b/>
                <w:sz w:val="16"/>
                <w:vertAlign w:val="superscript"/>
              </w:rPr>
              <w:t>(4)</w:t>
            </w:r>
          </w:p>
        </w:tc>
        <w:tc>
          <w:tcPr>
            <w:tcW w:w="1189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41" w:lineRule="exact" w:before="0"/>
              <w:ind w:left="31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Total</w:t>
            </w:r>
          </w:p>
        </w:tc>
      </w:tr>
    </w:tbl>
    <w:p>
      <w:pPr>
        <w:spacing w:after="0" w:line="141" w:lineRule="exact"/>
        <w:jc w:val="left"/>
        <w:rPr>
          <w:sz w:val="16"/>
        </w:rPr>
        <w:sectPr>
          <w:pgSz w:w="12240" w:h="15840"/>
          <w:pgMar w:header="0" w:footer="517" w:top="1080" w:bottom="780" w:left="740" w:right="700"/>
        </w:sectPr>
      </w:pPr>
    </w:p>
    <w:p>
      <w:pPr>
        <w:spacing w:before="133"/>
        <w:ind w:left="302" w:right="0" w:firstLine="0"/>
        <w:jc w:val="left"/>
        <w:rPr>
          <w:b/>
          <w:sz w:val="16"/>
        </w:rPr>
      </w:pPr>
      <w:r>
        <w:rPr/>
        <w:pict>
          <v:shape style="position:absolute;margin-left:49.5pt;margin-top:15.661724pt;width:503.25pt;height:220.7pt;mso-position-horizontal-relative:page;mso-position-vertical-relative:paragraph;z-index:15767552" type="#_x0000_t202" id="docshape108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239"/>
                    <w:gridCol w:w="1208"/>
                    <w:gridCol w:w="1245"/>
                    <w:gridCol w:w="1485"/>
                    <w:gridCol w:w="1515"/>
                    <w:gridCol w:w="1373"/>
                  </w:tblGrid>
                  <w:tr>
                    <w:trPr>
                      <w:trHeight w:val="483" w:hRule="atLeast"/>
                    </w:trPr>
                    <w:tc>
                      <w:tcPr>
                        <w:tcW w:w="3239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3095" w:val="right" w:leader="none"/>
                          </w:tabs>
                          <w:spacing w:line="179" w:lineRule="exact" w:before="0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>President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and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Chief</w:t>
                        </w:r>
                        <w:r>
                          <w:rPr>
                            <w:spacing w:val="-1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Executive</w:t>
                        </w:r>
                        <w:r>
                          <w:rPr>
                            <w:rFonts w:ascii="Times New Roman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2020</w:t>
                        </w:r>
                      </w:p>
                      <w:p>
                        <w:pPr>
                          <w:pStyle w:val="TableParagraph"/>
                          <w:spacing w:before="101"/>
                          <w:ind w:righ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208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</w:tabs>
                          <w:spacing w:line="179" w:lineRule="exact" w:before="0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586,500</w:t>
                        </w:r>
                      </w:p>
                      <w:p>
                        <w:pPr>
                          <w:pStyle w:val="TableParagraph"/>
                          <w:tabs>
                            <w:tab w:pos="570" w:val="left" w:leader="none"/>
                          </w:tabs>
                          <w:spacing w:before="101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575,000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474" w:val="left" w:leader="none"/>
                          </w:tabs>
                          <w:spacing w:line="179" w:lineRule="exact" w:before="0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2,093,977</w:t>
                        </w:r>
                      </w:p>
                      <w:p>
                        <w:pPr>
                          <w:pStyle w:val="TableParagraph"/>
                          <w:tabs>
                            <w:tab w:pos="47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1,530,528</w:t>
                        </w:r>
                      </w:p>
                    </w:tc>
                    <w:tc>
                      <w:tcPr>
                        <w:tcW w:w="148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714" w:val="left" w:leader="none"/>
                          </w:tabs>
                          <w:spacing w:line="179" w:lineRule="exact" w:before="0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1,165,082</w:t>
                        </w:r>
                      </w:p>
                      <w:p>
                        <w:pPr>
                          <w:pStyle w:val="TableParagraph"/>
                          <w:tabs>
                            <w:tab w:pos="71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1,125,562</w:t>
                        </w:r>
                      </w:p>
                    </w:tc>
                    <w:tc>
                      <w:tcPr>
                        <w:tcW w:w="151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line="179" w:lineRule="exact" w:before="0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11,400</w:t>
                        </w:r>
                      </w:p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11,200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594" w:val="left" w:leader="none"/>
                          </w:tabs>
                          <w:spacing w:line="179" w:lineRule="exact" w:before="0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3,856,959</w:t>
                        </w:r>
                      </w:p>
                      <w:p>
                        <w:pPr>
                          <w:pStyle w:val="TableParagraph"/>
                          <w:tabs>
                            <w:tab w:pos="59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3,242,290</w:t>
                        </w:r>
                      </w:p>
                    </w:tc>
                  </w:tr>
                  <w:tr>
                    <w:trPr>
                      <w:trHeight w:val="403" w:hRule="atLeast"/>
                    </w:trPr>
                    <w:tc>
                      <w:tcPr>
                        <w:tcW w:w="3239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3095" w:val="right" w:leader="none"/>
                          </w:tabs>
                          <w:spacing w:line="217" w:lineRule="exact" w:before="166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Paul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Seavey</w:t>
                        </w:r>
                        <w:r>
                          <w:rPr>
                            <w:rFonts w:ascii="Times New Roman"/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position w:val="11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26" w:val="left" w:leader="none"/>
                          </w:tabs>
                          <w:spacing w:line="240" w:lineRule="auto" w:before="0"/>
                          <w:ind w:righ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395,300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14" w:val="left" w:leader="none"/>
                          </w:tabs>
                          <w:spacing w:line="240" w:lineRule="auto" w:befor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1,455,220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line="240" w:lineRule="auto" w:before="0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849,875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06" w:val="left" w:leader="none"/>
                          </w:tabs>
                          <w:spacing w:line="240" w:lineRule="auto" w:before="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11,600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jc w:val="left"/>
                          <w:rPr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spacing w:line="240" w:lineRule="auto" w:before="0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2,711,995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3239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3095" w:val="right" w:leader="none"/>
                          </w:tabs>
                          <w:spacing w:line="240" w:lineRule="auto" w:before="38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>Executive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Vice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President</w:t>
                        </w:r>
                        <w:r>
                          <w:rPr>
                            <w:spacing w:val="-1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2020</w:t>
                        </w:r>
                      </w:p>
                      <w:p>
                        <w:pPr>
                          <w:pStyle w:val="TableParagraph"/>
                          <w:spacing w:before="101"/>
                          <w:ind w:righ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208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</w:tabs>
                          <w:spacing w:line="240" w:lineRule="auto" w:before="48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387,600</w:t>
                        </w:r>
                      </w:p>
                      <w:p>
                        <w:pPr>
                          <w:pStyle w:val="TableParagraph"/>
                          <w:tabs>
                            <w:tab w:pos="570" w:val="left" w:leader="none"/>
                          </w:tabs>
                          <w:spacing w:before="101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380,000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474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1,682,895</w:t>
                        </w:r>
                      </w:p>
                      <w:p>
                        <w:pPr>
                          <w:pStyle w:val="TableParagraph"/>
                          <w:tabs>
                            <w:tab w:pos="47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1,260,195</w:t>
                        </w:r>
                      </w:p>
                    </w:tc>
                    <w:tc>
                      <w:tcPr>
                        <w:tcW w:w="148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584,113</w:t>
                        </w:r>
                      </w:p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565,326</w:t>
                        </w:r>
                      </w:p>
                    </w:tc>
                    <w:tc>
                      <w:tcPr>
                        <w:tcW w:w="151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11,400</w:t>
                        </w:r>
                      </w:p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11,200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594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2,666,008</w:t>
                        </w:r>
                      </w:p>
                      <w:p>
                        <w:pPr>
                          <w:pStyle w:val="TableParagraph"/>
                          <w:tabs>
                            <w:tab w:pos="59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2,216,721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3239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3095" w:val="right" w:leader="none"/>
                          </w:tabs>
                          <w:spacing w:line="217" w:lineRule="exact" w:before="196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Patrick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Waite</w:t>
                        </w:r>
                        <w:r>
                          <w:rPr>
                            <w:rFonts w:ascii="Times New Roman"/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position w:val="11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26" w:val="left" w:leader="none"/>
                          </w:tabs>
                          <w:spacing w:line="240" w:lineRule="auto" w:before="1"/>
                          <w:ind w:righ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395,300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14" w:val="left" w:leader="none"/>
                          </w:tabs>
                          <w:spacing w:line="240" w:lineRule="auto" w:befor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1,455,220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line="240" w:lineRule="auto" w:before="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849,875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06" w:val="left" w:leader="none"/>
                          </w:tabs>
                          <w:spacing w:line="240" w:lineRule="auto" w:befor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11,600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spacing w:line="240" w:lineRule="auto" w:before="1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2,711,995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3239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3095" w:val="right" w:leader="none"/>
                          </w:tabs>
                          <w:spacing w:line="240" w:lineRule="auto" w:before="38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>Executive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Vice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President</w:t>
                        </w:r>
                        <w:r>
                          <w:rPr>
                            <w:spacing w:val="-1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and</w:t>
                        </w:r>
                        <w:r>
                          <w:rPr>
                            <w:rFonts w:ascii="Times New Roman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2020</w:t>
                        </w:r>
                      </w:p>
                      <w:p>
                        <w:pPr>
                          <w:pStyle w:val="TableParagraph"/>
                          <w:spacing w:before="101"/>
                          <w:ind w:righ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208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</w:tabs>
                          <w:spacing w:line="240" w:lineRule="auto" w:before="48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387,600</w:t>
                        </w:r>
                      </w:p>
                      <w:p>
                        <w:pPr>
                          <w:pStyle w:val="TableParagraph"/>
                          <w:tabs>
                            <w:tab w:pos="570" w:val="left" w:leader="none"/>
                          </w:tabs>
                          <w:spacing w:before="101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380,000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474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1,682,895</w:t>
                        </w:r>
                      </w:p>
                      <w:p>
                        <w:pPr>
                          <w:pStyle w:val="TableParagraph"/>
                          <w:tabs>
                            <w:tab w:pos="47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1,260,195</w:t>
                        </w:r>
                      </w:p>
                    </w:tc>
                    <w:tc>
                      <w:tcPr>
                        <w:tcW w:w="148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584,113</w:t>
                        </w:r>
                      </w:p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565,326</w:t>
                        </w:r>
                      </w:p>
                    </w:tc>
                    <w:tc>
                      <w:tcPr>
                        <w:tcW w:w="151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11,400</w:t>
                        </w:r>
                      </w:p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11,200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594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2,666,008</w:t>
                        </w:r>
                      </w:p>
                      <w:p>
                        <w:pPr>
                          <w:pStyle w:val="TableParagraph"/>
                          <w:tabs>
                            <w:tab w:pos="59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2,216,721</w:t>
                        </w:r>
                      </w:p>
                    </w:tc>
                  </w:tr>
                  <w:tr>
                    <w:trPr>
                      <w:trHeight w:val="433" w:hRule="atLeast"/>
                    </w:trPr>
                    <w:tc>
                      <w:tcPr>
                        <w:tcW w:w="3239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3095" w:val="right" w:leader="none"/>
                          </w:tabs>
                          <w:spacing w:line="217" w:lineRule="exact" w:before="196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Roger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Maynard</w:t>
                        </w:r>
                        <w:r>
                          <w:rPr>
                            <w:b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  <w:vertAlign w:val="superscript"/>
                          </w:rPr>
                          <w:t>(5)</w:t>
                        </w:r>
                        <w:r>
                          <w:rPr>
                            <w:rFonts w:ascii="Times New Roman"/>
                            <w:b/>
                            <w:position w:val="7"/>
                            <w:sz w:val="16"/>
                            <w:vertAlign w:val="baseline"/>
                          </w:rPr>
                          <w:tab/>
                        </w:r>
                        <w:r>
                          <w:rPr>
                            <w:position w:val="11"/>
                            <w:sz w:val="16"/>
                            <w:vertAlign w:val="baseline"/>
                          </w:rPr>
                          <w:t>2021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26" w:val="left" w:leader="none"/>
                          </w:tabs>
                          <w:spacing w:line="240" w:lineRule="auto" w:before="1"/>
                          <w:ind w:righ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395,300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line="240" w:lineRule="auto" w:befor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802,512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line="240" w:lineRule="auto" w:before="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849,875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06" w:val="left" w:leader="none"/>
                          </w:tabs>
                          <w:spacing w:line="240" w:lineRule="auto" w:befor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11,600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sz w:val="17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spacing w:line="240" w:lineRule="auto" w:before="1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2,059,287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3239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3095" w:val="right" w:leader="none"/>
                          </w:tabs>
                          <w:spacing w:line="240" w:lineRule="auto" w:before="38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>Executive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Vice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President</w:t>
                        </w:r>
                        <w:r>
                          <w:rPr>
                            <w:spacing w:val="-1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2020</w:t>
                        </w:r>
                      </w:p>
                      <w:p>
                        <w:pPr>
                          <w:pStyle w:val="TableParagraph"/>
                          <w:spacing w:before="101"/>
                          <w:ind w:righ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208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570" w:val="left" w:leader="none"/>
                          </w:tabs>
                          <w:spacing w:line="240" w:lineRule="auto" w:before="48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387,600</w:t>
                        </w:r>
                      </w:p>
                      <w:p>
                        <w:pPr>
                          <w:pStyle w:val="TableParagraph"/>
                          <w:tabs>
                            <w:tab w:pos="570" w:val="left" w:leader="none"/>
                          </w:tabs>
                          <w:spacing w:before="101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380,000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607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926,257</w:t>
                        </w:r>
                      </w:p>
                      <w:p>
                        <w:pPr>
                          <w:pStyle w:val="TableParagraph"/>
                          <w:tabs>
                            <w:tab w:pos="607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693,615</w:t>
                        </w:r>
                      </w:p>
                    </w:tc>
                    <w:tc>
                      <w:tcPr>
                        <w:tcW w:w="148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584,113</w:t>
                        </w:r>
                      </w:p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565,326</w:t>
                        </w:r>
                      </w:p>
                    </w:tc>
                    <w:tc>
                      <w:tcPr>
                        <w:tcW w:w="1515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11,400</w:t>
                        </w:r>
                      </w:p>
                      <w:p>
                        <w:pPr>
                          <w:pStyle w:val="TableParagraph"/>
                          <w:tabs>
                            <w:tab w:pos="966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11,200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594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1,909,370</w:t>
                        </w:r>
                      </w:p>
                      <w:p>
                        <w:pPr>
                          <w:pStyle w:val="TableParagraph"/>
                          <w:tabs>
                            <w:tab w:pos="59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1,650,141</w:t>
                        </w:r>
                      </w:p>
                    </w:tc>
                  </w:tr>
                  <w:tr>
                    <w:trPr>
                      <w:trHeight w:val="418" w:hRule="atLeast"/>
                    </w:trPr>
                    <w:tc>
                      <w:tcPr>
                        <w:tcW w:w="3239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tabs>
                            <w:tab w:pos="3095" w:val="right" w:leader="none"/>
                          </w:tabs>
                          <w:spacing w:line="217" w:lineRule="exact" w:before="181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b/>
                            <w:sz w:val="16"/>
                          </w:rPr>
                          <w:t>David</w:t>
                        </w:r>
                        <w:r>
                          <w:rPr>
                            <w:b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sz w:val="16"/>
                          </w:rPr>
                          <w:t>Eldersveld</w:t>
                        </w:r>
                        <w:r>
                          <w:rPr>
                            <w:rFonts w:ascii="Times New Roman"/>
                            <w:b/>
                            <w:sz w:val="16"/>
                          </w:rPr>
                          <w:tab/>
                        </w:r>
                        <w:r>
                          <w:rPr>
                            <w:position w:val="11"/>
                            <w:sz w:val="16"/>
                          </w:rPr>
                          <w:t>2021</w:t>
                        </w:r>
                      </w:p>
                    </w:tc>
                    <w:tc>
                      <w:tcPr>
                        <w:tcW w:w="1208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426" w:val="left" w:leader="none"/>
                          </w:tabs>
                          <w:spacing w:line="240" w:lineRule="auto" w:before="1"/>
                          <w:ind w:right="5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395,300</w:t>
                        </w:r>
                      </w:p>
                    </w:tc>
                    <w:tc>
                      <w:tcPr>
                        <w:tcW w:w="124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47" w:val="left" w:leader="none"/>
                          </w:tabs>
                          <w:spacing w:line="240" w:lineRule="auto" w:befor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860,826</w:t>
                        </w:r>
                      </w:p>
                    </w:tc>
                    <w:tc>
                      <w:tcPr>
                        <w:tcW w:w="148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847" w:val="left" w:leader="none"/>
                          </w:tabs>
                          <w:spacing w:line="240" w:lineRule="auto" w:before="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849,875</w:t>
                        </w:r>
                      </w:p>
                    </w:tc>
                    <w:tc>
                      <w:tcPr>
                        <w:tcW w:w="1515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906" w:val="left" w:leader="none"/>
                          </w:tabs>
                          <w:spacing w:line="240" w:lineRule="auto" w:before="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11,600</w:t>
                        </w:r>
                      </w:p>
                    </w:tc>
                    <w:tc>
                      <w:tcPr>
                        <w:tcW w:w="1373" w:type="dxa"/>
                        <w:tcBorders>
                          <w:top w:val="single" w:sz="8" w:space="0" w:color="888A8C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jc w:val="left"/>
                          <w:rPr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tabs>
                            <w:tab w:pos="533" w:val="left" w:leader="none"/>
                          </w:tabs>
                          <w:spacing w:line="240" w:lineRule="auto" w:before="1"/>
                          <w:ind w:right="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2,117,601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3239" w:type="dxa"/>
                        <w:tcBorders>
                          <w:bottom w:val="single" w:sz="8" w:space="0" w:color="00539E"/>
                        </w:tcBorders>
                      </w:tcPr>
                      <w:p>
                        <w:pPr>
                          <w:pStyle w:val="TableParagraph"/>
                          <w:tabs>
                            <w:tab w:pos="3095" w:val="right" w:leader="none"/>
                          </w:tabs>
                          <w:spacing w:line="240" w:lineRule="auto" w:before="38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position w:val="1"/>
                            <w:sz w:val="16"/>
                          </w:rPr>
                          <w:t>Executive</w:t>
                        </w:r>
                        <w:r>
                          <w:rPr>
                            <w:spacing w:val="-3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Vice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President,</w:t>
                        </w:r>
                        <w:r>
                          <w:rPr>
                            <w:spacing w:val="-2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position w:val="1"/>
                            <w:sz w:val="16"/>
                          </w:rPr>
                          <w:t>Chief</w:t>
                        </w:r>
                        <w:r>
                          <w:rPr>
                            <w:rFonts w:ascii="Times New Roman"/>
                            <w:position w:val="1"/>
                            <w:sz w:val="16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2020</w:t>
                        </w:r>
                      </w:p>
                      <w:p>
                        <w:pPr>
                          <w:pStyle w:val="TableParagraph"/>
                          <w:spacing w:before="101"/>
                          <w:ind w:right="141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2019</w:t>
                        </w:r>
                      </w:p>
                    </w:tc>
                    <w:tc>
                      <w:tcPr>
                        <w:tcW w:w="1208" w:type="dxa"/>
                        <w:tcBorders>
                          <w:bottom w:val="single" w:sz="8" w:space="0" w:color="00539E"/>
                        </w:tcBorders>
                      </w:tcPr>
                      <w:p>
                        <w:pPr>
                          <w:pStyle w:val="TableParagraph"/>
                          <w:tabs>
                            <w:tab w:pos="987" w:val="left" w:leader="none"/>
                          </w:tabs>
                          <w:spacing w:line="240" w:lineRule="auto" w:before="48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  <w:p>
                        <w:pPr>
                          <w:pStyle w:val="TableParagraph"/>
                          <w:tabs>
                            <w:tab w:pos="987" w:val="left" w:leader="none"/>
                          </w:tabs>
                          <w:spacing w:before="101"/>
                          <w:ind w:left="143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</w:tc>
                    <w:tc>
                      <w:tcPr>
                        <w:tcW w:w="1245" w:type="dxa"/>
                        <w:tcBorders>
                          <w:bottom w:val="single" w:sz="8" w:space="0" w:color="00539E"/>
                        </w:tcBorders>
                      </w:tcPr>
                      <w:p>
                        <w:pPr>
                          <w:pStyle w:val="TableParagraph"/>
                          <w:tabs>
                            <w:tab w:pos="1024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  <w:p>
                        <w:pPr>
                          <w:pStyle w:val="TableParagraph"/>
                          <w:tabs>
                            <w:tab w:pos="102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</w:tc>
                    <w:tc>
                      <w:tcPr>
                        <w:tcW w:w="1485" w:type="dxa"/>
                        <w:tcBorders>
                          <w:bottom w:val="single" w:sz="8" w:space="0" w:color="00539E"/>
                        </w:tcBorders>
                      </w:tcPr>
                      <w:p>
                        <w:pPr>
                          <w:pStyle w:val="TableParagraph"/>
                          <w:tabs>
                            <w:tab w:pos="1264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  <w:p>
                        <w:pPr>
                          <w:pStyle w:val="TableParagraph"/>
                          <w:tabs>
                            <w:tab w:pos="126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</w:tc>
                    <w:tc>
                      <w:tcPr>
                        <w:tcW w:w="1515" w:type="dxa"/>
                        <w:tcBorders>
                          <w:bottom w:val="single" w:sz="8" w:space="0" w:color="00539E"/>
                        </w:tcBorders>
                      </w:tcPr>
                      <w:p>
                        <w:pPr>
                          <w:pStyle w:val="TableParagraph"/>
                          <w:tabs>
                            <w:tab w:pos="1294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  <w:p>
                        <w:pPr>
                          <w:pStyle w:val="TableParagraph"/>
                          <w:tabs>
                            <w:tab w:pos="129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</w:tc>
                    <w:tc>
                      <w:tcPr>
                        <w:tcW w:w="1373" w:type="dxa"/>
                        <w:tcBorders>
                          <w:bottom w:val="single" w:sz="8" w:space="0" w:color="00539E"/>
                        </w:tcBorders>
                      </w:tcPr>
                      <w:p>
                        <w:pPr>
                          <w:pStyle w:val="TableParagraph"/>
                          <w:tabs>
                            <w:tab w:pos="1144" w:val="left" w:leader="none"/>
                          </w:tabs>
                          <w:spacing w:line="240" w:lineRule="auto" w:before="48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  <w:p>
                        <w:pPr>
                          <w:pStyle w:val="TableParagraph"/>
                          <w:tabs>
                            <w:tab w:pos="1144" w:val="left" w:leader="none"/>
                          </w:tabs>
                          <w:spacing w:before="101"/>
                          <w:ind w:left="6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$</w:t>
                          <w:tab/>
                          <w:t>—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Marguerite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Nader</w:t>
      </w:r>
    </w:p>
    <w:p>
      <w:pPr>
        <w:spacing w:before="136"/>
        <w:ind w:left="302" w:right="0" w:firstLine="0"/>
        <w:jc w:val="left"/>
        <w:rPr>
          <w:sz w:val="16"/>
        </w:rPr>
      </w:pPr>
      <w:r>
        <w:rPr>
          <w:sz w:val="16"/>
        </w:rPr>
        <w:t>Officer</w:t>
      </w:r>
    </w:p>
    <w:p>
      <w:pPr>
        <w:tabs>
          <w:tab w:pos="945" w:val="left" w:leader="none"/>
          <w:tab w:pos="1372" w:val="left" w:leader="none"/>
          <w:tab w:pos="2484" w:val="left" w:leader="none"/>
          <w:tab w:pos="3969" w:val="left" w:leader="none"/>
          <w:tab w:pos="5706" w:val="left" w:leader="none"/>
          <w:tab w:pos="6849" w:val="left" w:leader="none"/>
        </w:tabs>
        <w:spacing w:before="23"/>
        <w:ind w:left="302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2021</w:t>
        <w:tab/>
        <w:t>$</w:t>
        <w:tab/>
        <w:t>600,000</w:t>
      </w:r>
      <w:r>
        <w:rPr>
          <w:spacing w:val="73"/>
          <w:sz w:val="16"/>
        </w:rPr>
        <w:t> </w:t>
      </w:r>
      <w:r>
        <w:rPr>
          <w:sz w:val="16"/>
        </w:rPr>
        <w:t>$</w:t>
        <w:tab/>
        <w:t>1,826,474</w:t>
      </w:r>
      <w:r>
        <w:rPr>
          <w:spacing w:val="72"/>
          <w:sz w:val="16"/>
        </w:rPr>
        <w:t> </w:t>
      </w:r>
      <w:r>
        <w:rPr>
          <w:sz w:val="16"/>
        </w:rPr>
        <w:t>$</w:t>
        <w:tab/>
        <w:t>1,700,415</w:t>
      </w:r>
      <w:r>
        <w:rPr>
          <w:spacing w:val="73"/>
          <w:sz w:val="16"/>
        </w:rPr>
        <w:t> </w:t>
      </w:r>
      <w:r>
        <w:rPr>
          <w:sz w:val="16"/>
        </w:rPr>
        <w:t>$</w:t>
        <w:tab/>
        <w:t>11,600</w:t>
      </w:r>
      <w:r>
        <w:rPr>
          <w:spacing w:val="73"/>
          <w:sz w:val="16"/>
        </w:rPr>
        <w:t> </w:t>
      </w:r>
      <w:r>
        <w:rPr>
          <w:sz w:val="16"/>
        </w:rPr>
        <w:t>$</w:t>
        <w:tab/>
        <w:t>4,138,489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header="0" w:footer="517" w:top="860" w:bottom="280" w:left="740" w:right="700"/>
          <w:cols w:num="2" w:equalWidth="0">
            <w:col w:w="1658" w:space="1030"/>
            <w:col w:w="8112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19"/>
        </w:rPr>
      </w:pPr>
    </w:p>
    <w:p>
      <w:pPr>
        <w:spacing w:before="95"/>
        <w:ind w:left="302" w:right="0" w:firstLine="0"/>
        <w:jc w:val="left"/>
        <w:rPr>
          <w:sz w:val="16"/>
        </w:rPr>
      </w:pPr>
      <w:r>
        <w:rPr>
          <w:sz w:val="16"/>
        </w:rPr>
        <w:t>Chief</w:t>
      </w:r>
      <w:r>
        <w:rPr>
          <w:spacing w:val="-5"/>
          <w:sz w:val="16"/>
        </w:rPr>
        <w:t> </w:t>
      </w:r>
      <w:r>
        <w:rPr>
          <w:sz w:val="16"/>
        </w:rPr>
        <w:t>Financial</w:t>
      </w:r>
      <w:r>
        <w:rPr>
          <w:spacing w:val="-5"/>
          <w:sz w:val="16"/>
        </w:rPr>
        <w:t> </w:t>
      </w:r>
      <w:r>
        <w:rPr>
          <w:sz w:val="16"/>
        </w:rPr>
        <w:t>Officer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1"/>
        <w:ind w:left="302" w:right="0" w:firstLine="0"/>
        <w:jc w:val="left"/>
        <w:rPr>
          <w:sz w:val="16"/>
        </w:rPr>
      </w:pPr>
      <w:r>
        <w:rPr>
          <w:sz w:val="16"/>
        </w:rPr>
        <w:t>Chief</w:t>
      </w:r>
      <w:r>
        <w:rPr>
          <w:spacing w:val="-5"/>
          <w:sz w:val="16"/>
        </w:rPr>
        <w:t> </w:t>
      </w:r>
      <w:r>
        <w:rPr>
          <w:sz w:val="16"/>
        </w:rPr>
        <w:t>Operating</w:t>
      </w:r>
      <w:r>
        <w:rPr>
          <w:spacing w:val="-5"/>
          <w:sz w:val="16"/>
        </w:rPr>
        <w:t> </w:t>
      </w:r>
      <w:r>
        <w:rPr>
          <w:sz w:val="16"/>
        </w:rPr>
        <w:t>Officer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6"/>
        </w:rPr>
      </w:pPr>
    </w:p>
    <w:p>
      <w:pPr>
        <w:spacing w:before="1"/>
        <w:ind w:left="302" w:right="0" w:firstLine="0"/>
        <w:jc w:val="left"/>
        <w:rPr>
          <w:sz w:val="16"/>
        </w:rPr>
      </w:pPr>
      <w:r>
        <w:rPr>
          <w:sz w:val="16"/>
        </w:rPr>
        <w:t>Investments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14"/>
        </w:rPr>
      </w:pPr>
    </w:p>
    <w:p>
      <w:pPr>
        <w:spacing w:before="1"/>
        <w:ind w:left="302" w:right="0" w:firstLine="0"/>
        <w:jc w:val="left"/>
        <w:rPr>
          <w:sz w:val="16"/>
        </w:rPr>
      </w:pPr>
      <w:r>
        <w:rPr>
          <w:sz w:val="16"/>
        </w:rPr>
        <w:t>Legal</w:t>
      </w:r>
      <w:r>
        <w:rPr>
          <w:spacing w:val="-4"/>
          <w:sz w:val="16"/>
        </w:rPr>
        <w:t> </w:t>
      </w:r>
      <w:r>
        <w:rPr>
          <w:sz w:val="16"/>
        </w:rPr>
        <w:t>Officer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Secretary</w:t>
      </w:r>
    </w:p>
    <w:p>
      <w:pPr>
        <w:pStyle w:val="BodyText"/>
        <w:rPr>
          <w:sz w:val="18"/>
        </w:rPr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8"/>
        </w:numPr>
        <w:tabs>
          <w:tab w:pos="610" w:val="left" w:leader="none"/>
        </w:tabs>
        <w:spacing w:line="249" w:lineRule="auto" w:before="0" w:after="0"/>
        <w:ind w:left="610" w:right="328" w:hanging="360"/>
        <w:jc w:val="left"/>
        <w:rPr>
          <w:sz w:val="16"/>
        </w:rPr>
      </w:pPr>
      <w:r>
        <w:rPr>
          <w:sz w:val="16"/>
        </w:rPr>
        <w:t>Effective</w:t>
      </w:r>
      <w:r>
        <w:rPr>
          <w:spacing w:val="-6"/>
          <w:sz w:val="16"/>
        </w:rPr>
        <w:t> </w:t>
      </w:r>
      <w:r>
        <w:rPr>
          <w:sz w:val="16"/>
        </w:rPr>
        <w:t>February</w:t>
      </w:r>
      <w:r>
        <w:rPr>
          <w:spacing w:val="-5"/>
          <w:sz w:val="16"/>
        </w:rPr>
        <w:t> </w:t>
      </w:r>
      <w:r>
        <w:rPr>
          <w:sz w:val="16"/>
        </w:rPr>
        <w:t>9,</w:t>
      </w:r>
      <w:r>
        <w:rPr>
          <w:spacing w:val="-5"/>
          <w:sz w:val="16"/>
        </w:rPr>
        <w:t> </w:t>
      </w:r>
      <w:r>
        <w:rPr>
          <w:sz w:val="16"/>
        </w:rPr>
        <w:t>2021,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David</w:t>
      </w:r>
      <w:r>
        <w:rPr>
          <w:spacing w:val="-6"/>
          <w:sz w:val="16"/>
        </w:rPr>
        <w:t> </w:t>
      </w:r>
      <w:r>
        <w:rPr>
          <w:sz w:val="16"/>
        </w:rPr>
        <w:t>Eldersveld</w:t>
      </w:r>
      <w:r>
        <w:rPr>
          <w:spacing w:val="-6"/>
          <w:sz w:val="16"/>
        </w:rPr>
        <w:t> </w:t>
      </w:r>
      <w:r>
        <w:rPr>
          <w:sz w:val="16"/>
        </w:rPr>
        <w:t>was</w:t>
      </w:r>
      <w:r>
        <w:rPr>
          <w:spacing w:val="-5"/>
          <w:sz w:val="16"/>
        </w:rPr>
        <w:t> </w:t>
      </w:r>
      <w:r>
        <w:rPr>
          <w:sz w:val="16"/>
        </w:rPr>
        <w:t>appointed</w:t>
      </w:r>
      <w:r>
        <w:rPr>
          <w:spacing w:val="-5"/>
          <w:sz w:val="16"/>
        </w:rPr>
        <w:t> </w:t>
      </w:r>
      <w:r>
        <w:rPr>
          <w:sz w:val="16"/>
        </w:rPr>
        <w:t>Executive</w:t>
      </w:r>
      <w:r>
        <w:rPr>
          <w:spacing w:val="-6"/>
          <w:sz w:val="16"/>
        </w:rPr>
        <w:t> </w:t>
      </w:r>
      <w:r>
        <w:rPr>
          <w:sz w:val="16"/>
        </w:rPr>
        <w:t>Vice</w:t>
      </w:r>
      <w:r>
        <w:rPr>
          <w:spacing w:val="-6"/>
          <w:sz w:val="16"/>
        </w:rPr>
        <w:t> </w:t>
      </w:r>
      <w:r>
        <w:rPr>
          <w:sz w:val="16"/>
        </w:rPr>
        <w:t>President,</w:t>
      </w:r>
      <w:r>
        <w:rPr>
          <w:spacing w:val="-5"/>
          <w:sz w:val="16"/>
        </w:rPr>
        <w:t> </w:t>
      </w:r>
      <w:r>
        <w:rPr>
          <w:sz w:val="16"/>
        </w:rPr>
        <w:t>Chief</w:t>
      </w:r>
      <w:r>
        <w:rPr>
          <w:spacing w:val="-4"/>
          <w:sz w:val="16"/>
        </w:rPr>
        <w:t> </w:t>
      </w:r>
      <w:r>
        <w:rPr>
          <w:sz w:val="16"/>
        </w:rPr>
        <w:t>Legal</w:t>
      </w:r>
      <w:r>
        <w:rPr>
          <w:spacing w:val="-5"/>
          <w:sz w:val="16"/>
        </w:rPr>
        <w:t> </w:t>
      </w:r>
      <w:r>
        <w:rPr>
          <w:sz w:val="16"/>
        </w:rPr>
        <w:t>Officer</w:t>
      </w:r>
      <w:r>
        <w:rPr>
          <w:spacing w:val="-5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Corporate</w:t>
      </w:r>
      <w:r>
        <w:rPr>
          <w:spacing w:val="-5"/>
          <w:sz w:val="16"/>
        </w:rPr>
        <w:t> </w:t>
      </w:r>
      <w:r>
        <w:rPr>
          <w:sz w:val="16"/>
        </w:rPr>
        <w:t>Secretary.</w:t>
      </w:r>
      <w:r>
        <w:rPr>
          <w:spacing w:val="34"/>
          <w:sz w:val="16"/>
        </w:rPr>
        <w:t> </w:t>
      </w:r>
      <w:r>
        <w:rPr>
          <w:sz w:val="16"/>
        </w:rPr>
        <w:t>Mr.</w:t>
      </w:r>
      <w:r>
        <w:rPr>
          <w:spacing w:val="1"/>
          <w:sz w:val="16"/>
        </w:rPr>
        <w:t> </w:t>
      </w:r>
      <w:r>
        <w:rPr>
          <w:sz w:val="16"/>
        </w:rPr>
        <w:t>Eldersveld</w:t>
      </w:r>
      <w:r>
        <w:rPr>
          <w:spacing w:val="-2"/>
          <w:sz w:val="16"/>
        </w:rPr>
        <w:t> </w:t>
      </w:r>
      <w:r>
        <w:rPr>
          <w:sz w:val="16"/>
        </w:rPr>
        <w:t>was</w:t>
      </w:r>
      <w:r>
        <w:rPr>
          <w:spacing w:val="-1"/>
          <w:sz w:val="16"/>
        </w:rPr>
        <w:t> </w:t>
      </w:r>
      <w:r>
        <w:rPr>
          <w:sz w:val="16"/>
        </w:rPr>
        <w:t>not</w:t>
      </w:r>
      <w:r>
        <w:rPr>
          <w:spacing w:val="-1"/>
          <w:sz w:val="16"/>
        </w:rPr>
        <w:t> </w:t>
      </w:r>
      <w:r>
        <w:rPr>
          <w:sz w:val="16"/>
        </w:rPr>
        <w:t>an</w:t>
      </w:r>
      <w:r>
        <w:rPr>
          <w:spacing w:val="-2"/>
          <w:sz w:val="16"/>
        </w:rPr>
        <w:t> </w:t>
      </w:r>
      <w:r>
        <w:rPr>
          <w:sz w:val="16"/>
        </w:rPr>
        <w:t>NEO</w:t>
      </w:r>
      <w:r>
        <w:rPr>
          <w:spacing w:val="-1"/>
          <w:sz w:val="16"/>
        </w:rPr>
        <w:t> </w:t>
      </w:r>
      <w:r>
        <w:rPr>
          <w:sz w:val="16"/>
        </w:rPr>
        <w:t>for 2020</w:t>
      </w:r>
      <w:r>
        <w:rPr>
          <w:spacing w:val="-2"/>
          <w:sz w:val="16"/>
        </w:rPr>
        <w:t> </w:t>
      </w:r>
      <w:r>
        <w:rPr>
          <w:sz w:val="16"/>
        </w:rPr>
        <w:t>or</w:t>
      </w:r>
      <w:r>
        <w:rPr>
          <w:spacing w:val="-1"/>
          <w:sz w:val="16"/>
        </w:rPr>
        <w:t> </w:t>
      </w:r>
      <w:r>
        <w:rPr>
          <w:sz w:val="16"/>
        </w:rPr>
        <w:t>2019,</w:t>
      </w:r>
      <w:r>
        <w:rPr>
          <w:spacing w:val="-1"/>
          <w:sz w:val="16"/>
        </w:rPr>
        <w:t> </w:t>
      </w:r>
      <w:r>
        <w:rPr>
          <w:sz w:val="16"/>
        </w:rPr>
        <w:t>therefore,</w:t>
      </w:r>
      <w:r>
        <w:rPr>
          <w:spacing w:val="-1"/>
          <w:sz w:val="16"/>
        </w:rPr>
        <w:t> </w:t>
      </w:r>
      <w:r>
        <w:rPr>
          <w:sz w:val="16"/>
        </w:rPr>
        <w:t>compensation</w:t>
      </w:r>
      <w:r>
        <w:rPr>
          <w:spacing w:val="-2"/>
          <w:sz w:val="16"/>
        </w:rPr>
        <w:t> </w:t>
      </w:r>
      <w:r>
        <w:rPr>
          <w:sz w:val="16"/>
        </w:rPr>
        <w:t>amounts are</w:t>
      </w:r>
      <w:r>
        <w:rPr>
          <w:spacing w:val="-2"/>
          <w:sz w:val="16"/>
        </w:rPr>
        <w:t> </w:t>
      </w:r>
      <w:r>
        <w:rPr>
          <w:sz w:val="16"/>
        </w:rPr>
        <w:t>not</w:t>
      </w:r>
      <w:r>
        <w:rPr>
          <w:spacing w:val="-1"/>
          <w:sz w:val="16"/>
        </w:rPr>
        <w:t> </w:t>
      </w:r>
      <w:r>
        <w:rPr>
          <w:sz w:val="16"/>
        </w:rPr>
        <w:t>included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1"/>
          <w:sz w:val="16"/>
        </w:rPr>
        <w:t> </w:t>
      </w:r>
      <w:r>
        <w:rPr>
          <w:sz w:val="16"/>
        </w:rPr>
        <w:t>those</w:t>
      </w:r>
      <w:r>
        <w:rPr>
          <w:spacing w:val="-1"/>
          <w:sz w:val="16"/>
        </w:rPr>
        <w:t> </w:t>
      </w:r>
      <w:r>
        <w:rPr>
          <w:sz w:val="16"/>
        </w:rPr>
        <w:t>years.</w:t>
      </w:r>
    </w:p>
    <w:p>
      <w:pPr>
        <w:pStyle w:val="ListParagraph"/>
        <w:numPr>
          <w:ilvl w:val="0"/>
          <w:numId w:val="18"/>
        </w:numPr>
        <w:tabs>
          <w:tab w:pos="610" w:val="left" w:leader="none"/>
        </w:tabs>
        <w:spacing w:line="249" w:lineRule="auto" w:before="101" w:after="0"/>
        <w:ind w:left="610" w:right="308" w:hanging="360"/>
        <w:jc w:val="left"/>
        <w:rPr>
          <w:sz w:val="16"/>
        </w:rPr>
      </w:pPr>
      <w:r>
        <w:rPr>
          <w:sz w:val="16"/>
        </w:rPr>
        <w:t>These amounts reflect the Grant Date Fair Value of restricted stock awards, calculated in accordance with FASB ASC 718 based on the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Company's </w:t>
      </w:r>
      <w:r>
        <w:rPr>
          <w:sz w:val="16"/>
        </w:rPr>
        <w:t>closing stock price on the Grant Date. In accordance with FASB ASC 718, the performance-based portion of the 2018 Awards,</w:t>
      </w:r>
      <w:r>
        <w:rPr>
          <w:spacing w:val="1"/>
          <w:sz w:val="16"/>
        </w:rPr>
        <w:t> </w:t>
      </w:r>
      <w:r>
        <w:rPr>
          <w:sz w:val="16"/>
        </w:rPr>
        <w:t>2019 Awards, 2020 Awards and 2021 Awards were deemed granted on the date the performance conditions were approved by the</w:t>
      </w:r>
      <w:r>
        <w:rPr>
          <w:spacing w:val="1"/>
          <w:sz w:val="16"/>
        </w:rPr>
        <w:t> </w:t>
      </w:r>
      <w:r>
        <w:rPr>
          <w:sz w:val="16"/>
        </w:rPr>
        <w:t>Compensation</w:t>
      </w:r>
      <w:r>
        <w:rPr>
          <w:spacing w:val="-4"/>
          <w:sz w:val="16"/>
        </w:rPr>
        <w:t> </w:t>
      </w:r>
      <w:r>
        <w:rPr>
          <w:sz w:val="16"/>
        </w:rPr>
        <w:t>Committee</w:t>
      </w:r>
      <w:r>
        <w:rPr>
          <w:spacing w:val="-4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target</w:t>
      </w:r>
      <w:r>
        <w:rPr>
          <w:spacing w:val="-3"/>
          <w:sz w:val="16"/>
        </w:rPr>
        <w:t> </w:t>
      </w:r>
      <w:r>
        <w:rPr>
          <w:sz w:val="16"/>
        </w:rPr>
        <w:t>Grant</w:t>
      </w:r>
      <w:r>
        <w:rPr>
          <w:spacing w:val="-3"/>
          <w:sz w:val="16"/>
        </w:rPr>
        <w:t> </w:t>
      </w:r>
      <w:r>
        <w:rPr>
          <w:sz w:val="16"/>
        </w:rPr>
        <w:t>Date</w:t>
      </w:r>
      <w:r>
        <w:rPr>
          <w:spacing w:val="-4"/>
          <w:sz w:val="16"/>
        </w:rPr>
        <w:t> </w:t>
      </w:r>
      <w:r>
        <w:rPr>
          <w:sz w:val="16"/>
        </w:rPr>
        <w:t>value</w:t>
      </w:r>
      <w:r>
        <w:rPr>
          <w:spacing w:val="-3"/>
          <w:sz w:val="16"/>
        </w:rPr>
        <w:t> </w:t>
      </w:r>
      <w:r>
        <w:rPr>
          <w:sz w:val="16"/>
        </w:rPr>
        <w:t>as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probability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achievement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performance</w:t>
      </w:r>
      <w:r>
        <w:rPr>
          <w:spacing w:val="-4"/>
          <w:sz w:val="16"/>
        </w:rPr>
        <w:t> </w:t>
      </w:r>
      <w:r>
        <w:rPr>
          <w:sz w:val="16"/>
        </w:rPr>
        <w:t>target</w:t>
      </w:r>
      <w:r>
        <w:rPr>
          <w:spacing w:val="-2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that</w:t>
      </w:r>
      <w:r>
        <w:rPr>
          <w:spacing w:val="-3"/>
          <w:sz w:val="16"/>
        </w:rPr>
        <w:t> </w:t>
      </w:r>
      <w:r>
        <w:rPr>
          <w:sz w:val="16"/>
        </w:rPr>
        <w:t>time</w:t>
      </w:r>
      <w:r>
        <w:rPr>
          <w:spacing w:val="-4"/>
          <w:sz w:val="16"/>
        </w:rPr>
        <w:t> </w:t>
      </w:r>
      <w:r>
        <w:rPr>
          <w:sz w:val="16"/>
        </w:rPr>
        <w:t>was</w:t>
      </w:r>
      <w:r>
        <w:rPr>
          <w:spacing w:val="-3"/>
          <w:sz w:val="16"/>
        </w:rPr>
        <w:t> </w:t>
      </w:r>
      <w:r>
        <w:rPr>
          <w:sz w:val="16"/>
        </w:rPr>
        <w:t>100%.</w:t>
      </w:r>
      <w:r>
        <w:rPr>
          <w:spacing w:val="1"/>
          <w:sz w:val="16"/>
        </w:rPr>
        <w:t> </w:t>
      </w:r>
      <w:r>
        <w:rPr>
          <w:sz w:val="16"/>
        </w:rPr>
        <w:t>For the portion of the awards with a performance period of January 1, 2020 to December 31, 2020, Ms. Nader, Mr. Seavey, Mr. Waite and</w:t>
      </w:r>
      <w:r>
        <w:rPr>
          <w:spacing w:val="1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Maynard</w:t>
      </w:r>
      <w:r>
        <w:rPr>
          <w:spacing w:val="-4"/>
          <w:sz w:val="16"/>
        </w:rPr>
        <w:t> </w:t>
      </w:r>
      <w:r>
        <w:rPr>
          <w:sz w:val="16"/>
        </w:rPr>
        <w:t>forfeited</w:t>
      </w:r>
      <w:r>
        <w:rPr>
          <w:spacing w:val="-4"/>
          <w:sz w:val="16"/>
        </w:rPr>
        <w:t> </w:t>
      </w:r>
      <w:r>
        <w:rPr>
          <w:sz w:val="16"/>
        </w:rPr>
        <w:t>484</w:t>
      </w:r>
      <w:r>
        <w:rPr>
          <w:spacing w:val="-5"/>
          <w:sz w:val="16"/>
        </w:rPr>
        <w:t> </w:t>
      </w:r>
      <w:r>
        <w:rPr>
          <w:sz w:val="16"/>
        </w:rPr>
        <w:t>shares,</w:t>
      </w:r>
      <w:r>
        <w:rPr>
          <w:spacing w:val="-3"/>
          <w:sz w:val="16"/>
        </w:rPr>
        <w:t> </w:t>
      </w:r>
      <w:r>
        <w:rPr>
          <w:sz w:val="16"/>
        </w:rPr>
        <w:t>394</w:t>
      </w:r>
      <w:r>
        <w:rPr>
          <w:spacing w:val="-4"/>
          <w:sz w:val="16"/>
        </w:rPr>
        <w:t> </w:t>
      </w:r>
      <w:r>
        <w:rPr>
          <w:sz w:val="16"/>
        </w:rPr>
        <w:t>shares,</w:t>
      </w:r>
      <w:r>
        <w:rPr>
          <w:spacing w:val="-4"/>
          <w:sz w:val="16"/>
        </w:rPr>
        <w:t> </w:t>
      </w:r>
      <w:r>
        <w:rPr>
          <w:sz w:val="16"/>
        </w:rPr>
        <w:t>394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217</w:t>
      </w:r>
      <w:r>
        <w:rPr>
          <w:spacing w:val="-5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Restricted</w:t>
      </w:r>
      <w:r>
        <w:rPr>
          <w:spacing w:val="-5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Stock,</w:t>
      </w:r>
      <w:r>
        <w:rPr>
          <w:spacing w:val="-3"/>
          <w:sz w:val="16"/>
        </w:rPr>
        <w:t> </w:t>
      </w:r>
      <w:r>
        <w:rPr>
          <w:sz w:val="16"/>
        </w:rPr>
        <w:t>respectively,</w:t>
      </w:r>
      <w:r>
        <w:rPr>
          <w:spacing w:val="-3"/>
          <w:sz w:val="16"/>
        </w:rPr>
        <w:t> </w:t>
      </w:r>
      <w:r>
        <w:rPr>
          <w:sz w:val="16"/>
        </w:rPr>
        <w:t>that</w:t>
      </w:r>
      <w:r>
        <w:rPr>
          <w:spacing w:val="-4"/>
          <w:sz w:val="16"/>
        </w:rPr>
        <w:t> </w:t>
      </w:r>
      <w:r>
        <w:rPr>
          <w:sz w:val="16"/>
        </w:rPr>
        <w:t>were</w:t>
      </w:r>
      <w:r>
        <w:rPr>
          <w:spacing w:val="-4"/>
          <w:sz w:val="16"/>
        </w:rPr>
        <w:t> </w:t>
      </w:r>
      <w:r>
        <w:rPr>
          <w:sz w:val="16"/>
        </w:rPr>
        <w:t>scheduled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240" w:h="15840"/>
          <w:pgMar w:header="0" w:footer="517" w:top="860" w:bottom="280" w:left="740" w:right="700"/>
        </w:sectPr>
      </w:pPr>
    </w:p>
    <w:p>
      <w:pPr>
        <w:spacing w:line="249" w:lineRule="auto" w:before="81"/>
        <w:ind w:left="610" w:right="965" w:firstLine="0"/>
        <w:jc w:val="left"/>
        <w:rPr>
          <w:sz w:val="16"/>
        </w:rPr>
      </w:pPr>
      <w:r>
        <w:rPr>
          <w:sz w:val="16"/>
        </w:rPr>
        <w:t>to vest on January 29, 2021. The settlement on the Restricted Stock Awards is further described in the CD&amp;A section of this Proxy</w:t>
      </w:r>
      <w:r>
        <w:rPr>
          <w:spacing w:val="-42"/>
          <w:sz w:val="16"/>
        </w:rPr>
        <w:t> </w:t>
      </w:r>
      <w:r>
        <w:rPr>
          <w:sz w:val="16"/>
        </w:rPr>
        <w:t>Statement.</w:t>
      </w:r>
      <w:r>
        <w:rPr>
          <w:spacing w:val="33"/>
          <w:sz w:val="16"/>
        </w:rPr>
        <w:t> </w:t>
      </w:r>
      <w:r>
        <w:rPr>
          <w:sz w:val="16"/>
        </w:rPr>
        <w:t>All</w:t>
      </w:r>
      <w:r>
        <w:rPr>
          <w:spacing w:val="-2"/>
          <w:sz w:val="16"/>
        </w:rPr>
        <w:t> </w:t>
      </w:r>
      <w:r>
        <w:rPr>
          <w:sz w:val="16"/>
        </w:rPr>
        <w:t>holders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1"/>
          <w:sz w:val="16"/>
        </w:rPr>
        <w:t> </w:t>
      </w:r>
      <w:r>
        <w:rPr>
          <w:sz w:val="16"/>
        </w:rPr>
        <w:t>Restricted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2"/>
          <w:sz w:val="16"/>
        </w:rPr>
        <w:t> </w:t>
      </w:r>
      <w:r>
        <w:rPr>
          <w:sz w:val="16"/>
        </w:rPr>
        <w:t>Stock</w:t>
      </w:r>
      <w:r>
        <w:rPr>
          <w:spacing w:val="-1"/>
          <w:sz w:val="16"/>
        </w:rPr>
        <w:t> </w:t>
      </w:r>
      <w:r>
        <w:rPr>
          <w:sz w:val="16"/>
        </w:rPr>
        <w:t>receive</w:t>
      </w:r>
      <w:r>
        <w:rPr>
          <w:spacing w:val="-3"/>
          <w:sz w:val="16"/>
        </w:rPr>
        <w:t> </w:t>
      </w:r>
      <w:r>
        <w:rPr>
          <w:sz w:val="16"/>
        </w:rPr>
        <w:t>any</w:t>
      </w:r>
      <w:r>
        <w:rPr>
          <w:spacing w:val="-1"/>
          <w:sz w:val="16"/>
        </w:rPr>
        <w:t> </w:t>
      </w:r>
      <w:r>
        <w:rPr>
          <w:sz w:val="16"/>
        </w:rPr>
        <w:t>dividends</w:t>
      </w:r>
      <w:r>
        <w:rPr>
          <w:spacing w:val="-1"/>
          <w:sz w:val="16"/>
        </w:rPr>
        <w:t> </w:t>
      </w:r>
      <w:r>
        <w:rPr>
          <w:sz w:val="16"/>
        </w:rPr>
        <w:t>paid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such</w:t>
      </w:r>
      <w:r>
        <w:rPr>
          <w:spacing w:val="-2"/>
          <w:sz w:val="16"/>
        </w:rPr>
        <w:t> </w:t>
      </w:r>
      <w:r>
        <w:rPr>
          <w:sz w:val="16"/>
        </w:rPr>
        <w:t>shares</w:t>
      </w:r>
      <w:r>
        <w:rPr>
          <w:spacing w:val="-1"/>
          <w:sz w:val="16"/>
        </w:rPr>
        <w:t> </w:t>
      </w:r>
      <w:r>
        <w:rPr>
          <w:sz w:val="16"/>
        </w:rPr>
        <w:t>whether</w:t>
      </w:r>
      <w:r>
        <w:rPr>
          <w:spacing w:val="-2"/>
          <w:sz w:val="16"/>
        </w:rPr>
        <w:t> </w:t>
      </w:r>
      <w:r>
        <w:rPr>
          <w:sz w:val="16"/>
        </w:rPr>
        <w:t>or</w:t>
      </w:r>
      <w:r>
        <w:rPr>
          <w:spacing w:val="-1"/>
          <w:sz w:val="16"/>
        </w:rPr>
        <w:t> </w:t>
      </w:r>
      <w:r>
        <w:rPr>
          <w:sz w:val="16"/>
        </w:rPr>
        <w:t>not</w:t>
      </w:r>
      <w:r>
        <w:rPr>
          <w:spacing w:val="-1"/>
          <w:sz w:val="16"/>
        </w:rPr>
        <w:t> </w:t>
      </w:r>
      <w:r>
        <w:rPr>
          <w:sz w:val="16"/>
        </w:rPr>
        <w:t>vested.</w:t>
      </w:r>
    </w:p>
    <w:p>
      <w:pPr>
        <w:pStyle w:val="ListParagraph"/>
        <w:numPr>
          <w:ilvl w:val="0"/>
          <w:numId w:val="18"/>
        </w:numPr>
        <w:tabs>
          <w:tab w:pos="610" w:val="left" w:leader="none"/>
        </w:tabs>
        <w:spacing w:line="249" w:lineRule="auto" w:before="101" w:after="0"/>
        <w:ind w:left="610" w:right="367" w:hanging="360"/>
        <w:jc w:val="left"/>
        <w:rPr>
          <w:sz w:val="16"/>
        </w:rPr>
      </w:pPr>
      <w:r>
        <w:rPr>
          <w:spacing w:val="-1"/>
          <w:sz w:val="16"/>
        </w:rPr>
        <w:t>A substantial majority of the NEOs’ annual </w:t>
      </w:r>
      <w:r>
        <w:rPr>
          <w:sz w:val="16"/>
        </w:rPr>
        <w:t>short-term incentive plan Cash Bonus payment is based on pre-established performance targets</w:t>
      </w:r>
      <w:r>
        <w:rPr>
          <w:spacing w:val="-42"/>
          <w:sz w:val="16"/>
        </w:rPr>
        <w:t> </w:t>
      </w:r>
      <w:r>
        <w:rPr>
          <w:sz w:val="16"/>
        </w:rPr>
        <w:t>as communicated to the NEOs at the beginning of the year, and therefore, such amounts are classified as non-equity incentive plan</w:t>
      </w:r>
      <w:r>
        <w:rPr>
          <w:spacing w:val="1"/>
          <w:sz w:val="16"/>
        </w:rPr>
        <w:t> </w:t>
      </w:r>
      <w:r>
        <w:rPr>
          <w:sz w:val="16"/>
        </w:rPr>
        <w:t>compensation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1"/>
          <w:sz w:val="16"/>
        </w:rPr>
        <w:t> </w:t>
      </w:r>
      <w:r>
        <w:rPr>
          <w:sz w:val="16"/>
        </w:rPr>
        <w:t>this table.</w:t>
      </w:r>
    </w:p>
    <w:p>
      <w:pPr>
        <w:spacing w:line="249" w:lineRule="auto" w:before="102"/>
        <w:ind w:left="610" w:right="376" w:firstLine="0"/>
        <w:jc w:val="left"/>
        <w:rPr>
          <w:sz w:val="16"/>
        </w:rPr>
      </w:pPr>
      <w:r>
        <w:rPr>
          <w:sz w:val="16"/>
        </w:rPr>
        <w:t>In February 2021, 2020 and 2019, the Compensation Committee approved the 2021, 2020 and 2019 bonus potential and performance</w:t>
      </w:r>
      <w:r>
        <w:rPr>
          <w:spacing w:val="1"/>
          <w:sz w:val="16"/>
        </w:rPr>
        <w:t> </w:t>
      </w:r>
      <w:r>
        <w:rPr>
          <w:sz w:val="16"/>
        </w:rPr>
        <w:t>targets, respectively.</w:t>
      </w:r>
      <w:r>
        <w:rPr>
          <w:spacing w:val="1"/>
          <w:sz w:val="16"/>
        </w:rPr>
        <w:t> </w:t>
      </w:r>
      <w:r>
        <w:rPr>
          <w:sz w:val="16"/>
        </w:rPr>
        <w:t>In January 2022, 2021 and 2020, after assessment of the achievement of such performance targets, the</w:t>
      </w:r>
      <w:r>
        <w:rPr>
          <w:spacing w:val="1"/>
          <w:sz w:val="16"/>
        </w:rPr>
        <w:t> </w:t>
      </w:r>
      <w:r>
        <w:rPr>
          <w:sz w:val="16"/>
        </w:rPr>
        <w:t>Compensation Committee approved and the NEOs received their annual Cash Bonus for each of the years ended December 31, 2021,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2020 and 2019, respectively.</w:t>
      </w:r>
      <w:r>
        <w:rPr>
          <w:sz w:val="16"/>
        </w:rPr>
        <w:t> See the "Compensation Discussion &amp; Analysis" section of this Proxy Statement for further discussion of the</w:t>
      </w:r>
      <w:r>
        <w:rPr>
          <w:spacing w:val="-42"/>
          <w:sz w:val="16"/>
        </w:rPr>
        <w:t> </w:t>
      </w:r>
      <w:r>
        <w:rPr>
          <w:sz w:val="16"/>
        </w:rPr>
        <w:t>2021</w:t>
      </w:r>
      <w:r>
        <w:rPr>
          <w:spacing w:val="-2"/>
          <w:sz w:val="16"/>
        </w:rPr>
        <w:t> </w:t>
      </w:r>
      <w:r>
        <w:rPr>
          <w:sz w:val="16"/>
        </w:rPr>
        <w:t>performance</w:t>
      </w:r>
      <w:r>
        <w:rPr>
          <w:spacing w:val="-1"/>
          <w:sz w:val="16"/>
        </w:rPr>
        <w:t> </w:t>
      </w:r>
      <w:r>
        <w:rPr>
          <w:sz w:val="16"/>
        </w:rPr>
        <w:t>targets.</w:t>
      </w:r>
    </w:p>
    <w:p>
      <w:pPr>
        <w:spacing w:line="249" w:lineRule="auto" w:before="104"/>
        <w:ind w:left="610" w:right="452" w:firstLine="0"/>
        <w:jc w:val="both"/>
        <w:rPr>
          <w:sz w:val="16"/>
        </w:rPr>
      </w:pPr>
      <w:r>
        <w:rPr>
          <w:sz w:val="16"/>
        </w:rPr>
        <w:t>On February 7, 2022, the Compensation Committee approved the 2022 Executive Bonus Plan. Information regarding the 2022 Executive</w:t>
      </w:r>
      <w:r>
        <w:rPr>
          <w:spacing w:val="1"/>
          <w:sz w:val="16"/>
        </w:rPr>
        <w:t> </w:t>
      </w:r>
      <w:r>
        <w:rPr>
          <w:sz w:val="16"/>
        </w:rPr>
        <w:t>Bonus</w:t>
      </w:r>
      <w:r>
        <w:rPr>
          <w:spacing w:val="-3"/>
          <w:sz w:val="16"/>
        </w:rPr>
        <w:t> </w:t>
      </w:r>
      <w:r>
        <w:rPr>
          <w:sz w:val="16"/>
        </w:rPr>
        <w:t>Plan</w:t>
      </w:r>
      <w:r>
        <w:rPr>
          <w:spacing w:val="-3"/>
          <w:sz w:val="16"/>
        </w:rPr>
        <w:t> </w:t>
      </w:r>
      <w:r>
        <w:rPr>
          <w:sz w:val="16"/>
        </w:rPr>
        <w:t>is</w:t>
      </w:r>
      <w:r>
        <w:rPr>
          <w:spacing w:val="-3"/>
          <w:sz w:val="16"/>
        </w:rPr>
        <w:t> </w:t>
      </w:r>
      <w:r>
        <w:rPr>
          <w:sz w:val="16"/>
        </w:rPr>
        <w:t>included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"Compensation</w:t>
      </w:r>
      <w:r>
        <w:rPr>
          <w:spacing w:val="-4"/>
          <w:sz w:val="16"/>
        </w:rPr>
        <w:t> </w:t>
      </w:r>
      <w:r>
        <w:rPr>
          <w:sz w:val="16"/>
        </w:rPr>
        <w:t>Discussion</w:t>
      </w:r>
      <w:r>
        <w:rPr>
          <w:spacing w:val="-3"/>
          <w:sz w:val="16"/>
        </w:rPr>
        <w:t> </w:t>
      </w:r>
      <w:r>
        <w:rPr>
          <w:sz w:val="16"/>
        </w:rPr>
        <w:t>&amp;</w:t>
      </w:r>
      <w:r>
        <w:rPr>
          <w:spacing w:val="-11"/>
          <w:sz w:val="16"/>
        </w:rPr>
        <w:t> </w:t>
      </w:r>
      <w:r>
        <w:rPr>
          <w:sz w:val="16"/>
        </w:rPr>
        <w:t>Analysis"</w:t>
      </w:r>
      <w:r>
        <w:rPr>
          <w:spacing w:val="-4"/>
          <w:sz w:val="16"/>
        </w:rPr>
        <w:t> </w:t>
      </w:r>
      <w:r>
        <w:rPr>
          <w:sz w:val="16"/>
        </w:rPr>
        <w:t>section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this</w:t>
      </w:r>
      <w:r>
        <w:rPr>
          <w:spacing w:val="-2"/>
          <w:sz w:val="16"/>
        </w:rPr>
        <w:t> </w:t>
      </w:r>
      <w:r>
        <w:rPr>
          <w:sz w:val="16"/>
        </w:rPr>
        <w:t>Proxy</w:t>
      </w:r>
      <w:r>
        <w:rPr>
          <w:spacing w:val="-3"/>
          <w:sz w:val="16"/>
        </w:rPr>
        <w:t> </w:t>
      </w:r>
      <w:r>
        <w:rPr>
          <w:sz w:val="16"/>
        </w:rPr>
        <w:t>Statement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Current</w:t>
      </w:r>
      <w:r>
        <w:rPr>
          <w:spacing w:val="-2"/>
          <w:sz w:val="16"/>
        </w:rPr>
        <w:t> </w:t>
      </w:r>
      <w:r>
        <w:rPr>
          <w:sz w:val="16"/>
        </w:rPr>
        <w:t>Report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Form</w:t>
      </w:r>
      <w:r>
        <w:rPr>
          <w:spacing w:val="-3"/>
          <w:sz w:val="16"/>
        </w:rPr>
        <w:t> </w:t>
      </w:r>
      <w:r>
        <w:rPr>
          <w:sz w:val="16"/>
        </w:rPr>
        <w:t>8-K</w:t>
      </w:r>
      <w:r>
        <w:rPr>
          <w:spacing w:val="1"/>
          <w:sz w:val="16"/>
        </w:rPr>
        <w:t> </w:t>
      </w:r>
      <w:r>
        <w:rPr>
          <w:sz w:val="16"/>
        </w:rPr>
        <w:t>filed</w:t>
      </w:r>
      <w:r>
        <w:rPr>
          <w:spacing w:val="-2"/>
          <w:sz w:val="16"/>
        </w:rPr>
        <w:t> </w:t>
      </w:r>
      <w:r>
        <w:rPr>
          <w:sz w:val="16"/>
        </w:rPr>
        <w:t>with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SEC on</w:t>
      </w:r>
      <w:r>
        <w:rPr>
          <w:spacing w:val="-1"/>
          <w:sz w:val="16"/>
        </w:rPr>
        <w:t> </w:t>
      </w:r>
      <w:r>
        <w:rPr>
          <w:sz w:val="16"/>
        </w:rPr>
        <w:t>February</w:t>
      </w:r>
      <w:r>
        <w:rPr>
          <w:spacing w:val="-1"/>
          <w:sz w:val="16"/>
        </w:rPr>
        <w:t> </w:t>
      </w:r>
      <w:r>
        <w:rPr>
          <w:sz w:val="16"/>
        </w:rPr>
        <w:t>11, 2022.</w:t>
      </w:r>
    </w:p>
    <w:p>
      <w:pPr>
        <w:spacing w:before="102"/>
        <w:ind w:left="610" w:right="0" w:firstLine="0"/>
        <w:jc w:val="both"/>
        <w:rPr>
          <w:sz w:val="16"/>
        </w:rPr>
      </w:pPr>
      <w:r>
        <w:rPr>
          <w:sz w:val="16"/>
        </w:rPr>
        <w:t>There</w:t>
      </w:r>
      <w:r>
        <w:rPr>
          <w:spacing w:val="-5"/>
          <w:sz w:val="16"/>
        </w:rPr>
        <w:t> </w:t>
      </w:r>
      <w:r>
        <w:rPr>
          <w:sz w:val="16"/>
        </w:rPr>
        <w:t>were</w:t>
      </w:r>
      <w:r>
        <w:rPr>
          <w:spacing w:val="-4"/>
          <w:sz w:val="16"/>
        </w:rPr>
        <w:t> </w:t>
      </w:r>
      <w:r>
        <w:rPr>
          <w:sz w:val="16"/>
        </w:rPr>
        <w:t>no</w:t>
      </w:r>
      <w:r>
        <w:rPr>
          <w:spacing w:val="-4"/>
          <w:sz w:val="16"/>
        </w:rPr>
        <w:t> </w:t>
      </w:r>
      <w:r>
        <w:rPr>
          <w:sz w:val="16"/>
        </w:rPr>
        <w:t>long-term</w:t>
      </w:r>
      <w:r>
        <w:rPr>
          <w:spacing w:val="-3"/>
          <w:sz w:val="16"/>
        </w:rPr>
        <w:t> </w:t>
      </w:r>
      <w:r>
        <w:rPr>
          <w:sz w:val="16"/>
        </w:rPr>
        <w:t>non-equity</w:t>
      </w:r>
      <w:r>
        <w:rPr>
          <w:spacing w:val="-3"/>
          <w:sz w:val="16"/>
        </w:rPr>
        <w:t> </w:t>
      </w:r>
      <w:r>
        <w:rPr>
          <w:sz w:val="16"/>
        </w:rPr>
        <w:t>incentive</w:t>
      </w:r>
      <w:r>
        <w:rPr>
          <w:spacing w:val="-4"/>
          <w:sz w:val="16"/>
        </w:rPr>
        <w:t> </w:t>
      </w:r>
      <w:r>
        <w:rPr>
          <w:sz w:val="16"/>
        </w:rPr>
        <w:t>plan</w:t>
      </w:r>
      <w:r>
        <w:rPr>
          <w:spacing w:val="-4"/>
          <w:sz w:val="16"/>
        </w:rPr>
        <w:t> </w:t>
      </w:r>
      <w:r>
        <w:rPr>
          <w:sz w:val="16"/>
        </w:rPr>
        <w:t>compensation</w:t>
      </w:r>
      <w:r>
        <w:rPr>
          <w:spacing w:val="-5"/>
          <w:sz w:val="16"/>
        </w:rPr>
        <w:t> </w:t>
      </w:r>
      <w:r>
        <w:rPr>
          <w:sz w:val="16"/>
        </w:rPr>
        <w:t>awards</w:t>
      </w:r>
      <w:r>
        <w:rPr>
          <w:spacing w:val="-3"/>
          <w:sz w:val="16"/>
        </w:rPr>
        <w:t> </w:t>
      </w:r>
      <w:r>
        <w:rPr>
          <w:sz w:val="16"/>
        </w:rPr>
        <w:t>granted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NEOs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-7"/>
          <w:sz w:val="16"/>
        </w:rPr>
        <w:t> </w:t>
      </w:r>
      <w:r>
        <w:rPr>
          <w:sz w:val="16"/>
        </w:rPr>
        <w:t>2019,</w:t>
      </w:r>
      <w:r>
        <w:rPr>
          <w:spacing w:val="-4"/>
          <w:sz w:val="16"/>
        </w:rPr>
        <w:t> </w:t>
      </w:r>
      <w:r>
        <w:rPr>
          <w:sz w:val="16"/>
        </w:rPr>
        <w:t>2020,</w:t>
      </w:r>
      <w:r>
        <w:rPr>
          <w:spacing w:val="-4"/>
          <w:sz w:val="16"/>
        </w:rPr>
        <w:t> </w:t>
      </w:r>
      <w:r>
        <w:rPr>
          <w:sz w:val="16"/>
        </w:rPr>
        <w:t>or</w:t>
      </w:r>
      <w:r>
        <w:rPr>
          <w:spacing w:val="-4"/>
          <w:sz w:val="16"/>
        </w:rPr>
        <w:t> </w:t>
      </w:r>
      <w:r>
        <w:rPr>
          <w:sz w:val="16"/>
        </w:rPr>
        <w:t>2021.</w:t>
      </w:r>
    </w:p>
    <w:p>
      <w:pPr>
        <w:pStyle w:val="ListParagraph"/>
        <w:numPr>
          <w:ilvl w:val="0"/>
          <w:numId w:val="18"/>
        </w:numPr>
        <w:tabs>
          <w:tab w:pos="610" w:val="left" w:leader="none"/>
        </w:tabs>
        <w:spacing w:line="240" w:lineRule="auto" w:before="108" w:after="0"/>
        <w:ind w:left="610" w:right="0" w:hanging="360"/>
        <w:jc w:val="left"/>
        <w:rPr>
          <w:sz w:val="16"/>
        </w:rPr>
      </w:pPr>
      <w:r>
        <w:rPr>
          <w:sz w:val="16"/>
        </w:rPr>
        <w:t>Includes</w:t>
      </w:r>
      <w:r>
        <w:rPr>
          <w:spacing w:val="-6"/>
          <w:sz w:val="16"/>
        </w:rPr>
        <w:t> </w:t>
      </w:r>
      <w:r>
        <w:rPr>
          <w:sz w:val="16"/>
        </w:rPr>
        <w:t>employer-matching</w:t>
      </w:r>
      <w:r>
        <w:rPr>
          <w:spacing w:val="-6"/>
          <w:sz w:val="16"/>
        </w:rPr>
        <w:t> </w:t>
      </w:r>
      <w:r>
        <w:rPr>
          <w:sz w:val="16"/>
        </w:rPr>
        <w:t>contributions</w:t>
      </w:r>
      <w:r>
        <w:rPr>
          <w:spacing w:val="-5"/>
          <w:sz w:val="16"/>
        </w:rPr>
        <w:t> </w:t>
      </w:r>
      <w:r>
        <w:rPr>
          <w:sz w:val="16"/>
        </w:rPr>
        <w:t>pursuant</w:t>
      </w:r>
      <w:r>
        <w:rPr>
          <w:spacing w:val="-5"/>
          <w:sz w:val="16"/>
        </w:rPr>
        <w:t> </w:t>
      </w:r>
      <w:r>
        <w:rPr>
          <w:sz w:val="16"/>
        </w:rPr>
        <w:t>to</w:t>
      </w:r>
      <w:r>
        <w:rPr>
          <w:spacing w:val="-6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Equity</w:t>
      </w:r>
      <w:r>
        <w:rPr>
          <w:spacing w:val="-6"/>
          <w:sz w:val="16"/>
        </w:rPr>
        <w:t> </w:t>
      </w:r>
      <w:r>
        <w:rPr>
          <w:sz w:val="16"/>
        </w:rPr>
        <w:t>LifeStyle</w:t>
      </w:r>
      <w:r>
        <w:rPr>
          <w:spacing w:val="-6"/>
          <w:sz w:val="16"/>
        </w:rPr>
        <w:t> </w:t>
      </w:r>
      <w:r>
        <w:rPr>
          <w:sz w:val="16"/>
        </w:rPr>
        <w:t>Properties,</w:t>
      </w:r>
      <w:r>
        <w:rPr>
          <w:spacing w:val="-5"/>
          <w:sz w:val="16"/>
        </w:rPr>
        <w:t> </w:t>
      </w:r>
      <w:r>
        <w:rPr>
          <w:sz w:val="16"/>
        </w:rPr>
        <w:t>Inc.</w:t>
      </w:r>
      <w:r>
        <w:rPr>
          <w:spacing w:val="-5"/>
          <w:sz w:val="16"/>
        </w:rPr>
        <w:t> </w:t>
      </w:r>
      <w:r>
        <w:rPr>
          <w:sz w:val="16"/>
        </w:rPr>
        <w:t>Retirement</w:t>
      </w:r>
      <w:r>
        <w:rPr>
          <w:spacing w:val="-5"/>
          <w:sz w:val="16"/>
        </w:rPr>
        <w:t> </w:t>
      </w:r>
      <w:r>
        <w:rPr>
          <w:sz w:val="16"/>
        </w:rPr>
        <w:t>Savings</w:t>
      </w:r>
      <w:r>
        <w:rPr>
          <w:spacing w:val="-6"/>
          <w:sz w:val="16"/>
        </w:rPr>
        <w:t> </w:t>
      </w:r>
      <w:r>
        <w:rPr>
          <w:sz w:val="16"/>
        </w:rPr>
        <w:t>Plan</w:t>
      </w:r>
      <w:r>
        <w:rPr>
          <w:spacing w:val="-6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$11,600,</w:t>
      </w:r>
      <w:r>
        <w:rPr>
          <w:spacing w:val="-5"/>
          <w:sz w:val="16"/>
        </w:rPr>
        <w:t> </w:t>
      </w:r>
      <w:r>
        <w:rPr>
          <w:sz w:val="16"/>
        </w:rPr>
        <w:t>$11,400</w:t>
      </w:r>
      <w:r>
        <w:rPr>
          <w:spacing w:val="-6"/>
          <w:sz w:val="16"/>
        </w:rPr>
        <w:t> </w:t>
      </w:r>
      <w:r>
        <w:rPr>
          <w:sz w:val="16"/>
        </w:rPr>
        <w:t>and</w:t>
      </w:r>
    </w:p>
    <w:p>
      <w:pPr>
        <w:spacing w:before="8"/>
        <w:ind w:left="610" w:right="0" w:firstLine="0"/>
        <w:jc w:val="both"/>
        <w:rPr>
          <w:sz w:val="16"/>
        </w:rPr>
      </w:pPr>
      <w:r>
        <w:rPr>
          <w:sz w:val="16"/>
        </w:rPr>
        <w:t>$11,200</w:t>
      </w:r>
      <w:r>
        <w:rPr>
          <w:spacing w:val="-7"/>
          <w:sz w:val="16"/>
        </w:rPr>
        <w:t> </w:t>
      </w:r>
      <w:r>
        <w:rPr>
          <w:sz w:val="16"/>
        </w:rPr>
        <w:t>for</w:t>
      </w:r>
      <w:r>
        <w:rPr>
          <w:spacing w:val="-5"/>
          <w:sz w:val="16"/>
        </w:rPr>
        <w:t> </w:t>
      </w:r>
      <w:r>
        <w:rPr>
          <w:sz w:val="16"/>
        </w:rPr>
        <w:t>the</w:t>
      </w:r>
      <w:r>
        <w:rPr>
          <w:spacing w:val="-6"/>
          <w:sz w:val="16"/>
        </w:rPr>
        <w:t> </w:t>
      </w:r>
      <w:r>
        <w:rPr>
          <w:sz w:val="16"/>
        </w:rPr>
        <w:t>years</w:t>
      </w:r>
      <w:r>
        <w:rPr>
          <w:spacing w:val="-5"/>
          <w:sz w:val="16"/>
        </w:rPr>
        <w:t> </w:t>
      </w:r>
      <w:r>
        <w:rPr>
          <w:sz w:val="16"/>
        </w:rPr>
        <w:t>ended</w:t>
      </w:r>
      <w:r>
        <w:rPr>
          <w:spacing w:val="-7"/>
          <w:sz w:val="16"/>
        </w:rPr>
        <w:t> </w:t>
      </w:r>
      <w:r>
        <w:rPr>
          <w:sz w:val="16"/>
        </w:rPr>
        <w:t>December</w:t>
      </w:r>
      <w:r>
        <w:rPr>
          <w:spacing w:val="-5"/>
          <w:sz w:val="16"/>
        </w:rPr>
        <w:t> </w:t>
      </w:r>
      <w:r>
        <w:rPr>
          <w:sz w:val="16"/>
        </w:rPr>
        <w:t>31,</w:t>
      </w:r>
      <w:r>
        <w:rPr>
          <w:spacing w:val="-5"/>
          <w:sz w:val="16"/>
        </w:rPr>
        <w:t> </w:t>
      </w:r>
      <w:r>
        <w:rPr>
          <w:sz w:val="16"/>
        </w:rPr>
        <w:t>2021,</w:t>
      </w:r>
      <w:r>
        <w:rPr>
          <w:spacing w:val="-6"/>
          <w:sz w:val="16"/>
        </w:rPr>
        <w:t> </w:t>
      </w:r>
      <w:r>
        <w:rPr>
          <w:sz w:val="16"/>
        </w:rPr>
        <w:t>2020</w:t>
      </w:r>
      <w:r>
        <w:rPr>
          <w:spacing w:val="-6"/>
          <w:sz w:val="16"/>
        </w:rPr>
        <w:t> </w:t>
      </w:r>
      <w:r>
        <w:rPr>
          <w:sz w:val="16"/>
        </w:rPr>
        <w:t>and</w:t>
      </w:r>
      <w:r>
        <w:rPr>
          <w:spacing w:val="-6"/>
          <w:sz w:val="16"/>
        </w:rPr>
        <w:t> </w:t>
      </w:r>
      <w:r>
        <w:rPr>
          <w:sz w:val="16"/>
        </w:rPr>
        <w:t>2019,</w:t>
      </w:r>
      <w:r>
        <w:rPr>
          <w:spacing w:val="-5"/>
          <w:sz w:val="16"/>
        </w:rPr>
        <w:t> </w:t>
      </w:r>
      <w:r>
        <w:rPr>
          <w:sz w:val="16"/>
        </w:rPr>
        <w:t>respectively.</w:t>
      </w:r>
    </w:p>
    <w:p>
      <w:pPr>
        <w:pStyle w:val="ListParagraph"/>
        <w:numPr>
          <w:ilvl w:val="0"/>
          <w:numId w:val="18"/>
        </w:numPr>
        <w:tabs>
          <w:tab w:pos="610" w:val="left" w:leader="none"/>
        </w:tabs>
        <w:spacing w:line="249" w:lineRule="auto" w:before="108" w:after="0"/>
        <w:ind w:left="610" w:right="924" w:hanging="360"/>
        <w:jc w:val="left"/>
        <w:rPr>
          <w:sz w:val="16"/>
        </w:rPr>
      </w:pPr>
      <w:r>
        <w:rPr>
          <w:sz w:val="16"/>
        </w:rPr>
        <w:t>On</w:t>
      </w:r>
      <w:r>
        <w:rPr>
          <w:spacing w:val="-5"/>
          <w:sz w:val="16"/>
        </w:rPr>
        <w:t> </w:t>
      </w:r>
      <w:r>
        <w:rPr>
          <w:sz w:val="16"/>
        </w:rPr>
        <w:t>February</w:t>
      </w:r>
      <w:r>
        <w:rPr>
          <w:spacing w:val="-3"/>
          <w:sz w:val="16"/>
        </w:rPr>
        <w:t> </w:t>
      </w:r>
      <w:r>
        <w:rPr>
          <w:sz w:val="16"/>
        </w:rPr>
        <w:t>10,</w:t>
      </w:r>
      <w:r>
        <w:rPr>
          <w:spacing w:val="-3"/>
          <w:sz w:val="16"/>
        </w:rPr>
        <w:t> </w:t>
      </w:r>
      <w:r>
        <w:rPr>
          <w:sz w:val="16"/>
        </w:rPr>
        <w:t>2022,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Company</w:t>
      </w:r>
      <w:r>
        <w:rPr>
          <w:spacing w:val="-3"/>
          <w:sz w:val="16"/>
        </w:rPr>
        <w:t> </w:t>
      </w:r>
      <w:r>
        <w:rPr>
          <w:sz w:val="16"/>
        </w:rPr>
        <w:t>announced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retirement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Mr.</w:t>
      </w:r>
      <w:r>
        <w:rPr>
          <w:spacing w:val="-3"/>
          <w:sz w:val="16"/>
        </w:rPr>
        <w:t> </w:t>
      </w:r>
      <w:r>
        <w:rPr>
          <w:sz w:val="16"/>
        </w:rPr>
        <w:t>Maynard</w:t>
      </w:r>
      <w:r>
        <w:rPr>
          <w:spacing w:val="-4"/>
          <w:sz w:val="16"/>
        </w:rPr>
        <w:t> </w:t>
      </w:r>
      <w:r>
        <w:rPr>
          <w:sz w:val="16"/>
        </w:rPr>
        <w:t>effective</w:t>
      </w:r>
      <w:r>
        <w:rPr>
          <w:spacing w:val="-4"/>
          <w:sz w:val="16"/>
        </w:rPr>
        <w:t> </w:t>
      </w:r>
      <w:r>
        <w:rPr>
          <w:sz w:val="16"/>
        </w:rPr>
        <w:t>March</w:t>
      </w:r>
      <w:r>
        <w:rPr>
          <w:spacing w:val="-4"/>
          <w:sz w:val="16"/>
        </w:rPr>
        <w:t> </w:t>
      </w:r>
      <w:r>
        <w:rPr>
          <w:sz w:val="16"/>
        </w:rPr>
        <w:t>31,</w:t>
      </w:r>
      <w:r>
        <w:rPr>
          <w:spacing w:val="-3"/>
          <w:sz w:val="16"/>
        </w:rPr>
        <w:t> </w:t>
      </w:r>
      <w:r>
        <w:rPr>
          <w:sz w:val="16"/>
        </w:rPr>
        <w:t>2022</w:t>
      </w:r>
      <w:r>
        <w:rPr>
          <w:spacing w:val="-4"/>
          <w:sz w:val="16"/>
        </w:rPr>
        <w:t> </w:t>
      </w:r>
      <w:r>
        <w:rPr>
          <w:sz w:val="16"/>
        </w:rPr>
        <w:t>as</w:t>
      </w:r>
      <w:r>
        <w:rPr>
          <w:spacing w:val="-3"/>
          <w:sz w:val="16"/>
        </w:rPr>
        <w:t> </w:t>
      </w:r>
      <w:r>
        <w:rPr>
          <w:sz w:val="16"/>
        </w:rPr>
        <w:t>further</w:t>
      </w:r>
      <w:r>
        <w:rPr>
          <w:spacing w:val="-3"/>
          <w:sz w:val="16"/>
        </w:rPr>
        <w:t> </w:t>
      </w:r>
      <w:r>
        <w:rPr>
          <w:sz w:val="16"/>
        </w:rPr>
        <w:t>described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"Compensation</w:t>
      </w:r>
      <w:r>
        <w:rPr>
          <w:spacing w:val="-2"/>
          <w:sz w:val="16"/>
        </w:rPr>
        <w:t> </w:t>
      </w:r>
      <w:r>
        <w:rPr>
          <w:sz w:val="16"/>
        </w:rPr>
        <w:t>Discussion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9"/>
          <w:sz w:val="16"/>
        </w:rPr>
        <w:t> </w:t>
      </w:r>
      <w:r>
        <w:rPr>
          <w:sz w:val="16"/>
        </w:rPr>
        <w:t>Analysis"</w:t>
      </w:r>
      <w:r>
        <w:rPr>
          <w:spacing w:val="-2"/>
          <w:sz w:val="16"/>
        </w:rPr>
        <w:t> </w:t>
      </w:r>
      <w:r>
        <w:rPr>
          <w:sz w:val="16"/>
        </w:rPr>
        <w:t>section</w:t>
      </w:r>
      <w:r>
        <w:rPr>
          <w:spacing w:val="-1"/>
          <w:sz w:val="16"/>
        </w:rPr>
        <w:t> </w:t>
      </w:r>
      <w:r>
        <w:rPr>
          <w:sz w:val="16"/>
        </w:rPr>
        <w:t>of this</w:t>
      </w:r>
      <w:r>
        <w:rPr>
          <w:spacing w:val="-1"/>
          <w:sz w:val="16"/>
        </w:rPr>
        <w:t> </w:t>
      </w:r>
      <w:r>
        <w:rPr>
          <w:sz w:val="16"/>
        </w:rPr>
        <w:t>Proxy Statement.</w:t>
      </w:r>
    </w:p>
    <w:p>
      <w:pPr>
        <w:pStyle w:val="BodyText"/>
        <w:rPr>
          <w:sz w:val="16"/>
        </w:rPr>
      </w:pPr>
    </w:p>
    <w:p>
      <w:pPr>
        <w:pStyle w:val="Heading2"/>
      </w:pPr>
      <w:bookmarkStart w:name="Grants of Plan-Based Awards" w:id="62"/>
      <w:bookmarkEnd w:id="62"/>
      <w:r>
        <w:rPr>
          <w:b w:val="0"/>
        </w:rPr>
      </w:r>
      <w:bookmarkStart w:name="_bookmark27" w:id="63"/>
      <w:bookmarkEnd w:id="63"/>
      <w:r>
        <w:rPr>
          <w:b w:val="0"/>
        </w:rPr>
      </w:r>
      <w:r>
        <w:rPr>
          <w:color w:val="00539E"/>
        </w:rPr>
        <w:t>Grants</w:t>
      </w:r>
      <w:r>
        <w:rPr>
          <w:color w:val="00539E"/>
          <w:spacing w:val="-4"/>
        </w:rPr>
        <w:t> </w:t>
      </w:r>
      <w:r>
        <w:rPr>
          <w:color w:val="00539E"/>
        </w:rPr>
        <w:t>of</w:t>
      </w:r>
      <w:r>
        <w:rPr>
          <w:color w:val="00539E"/>
          <w:spacing w:val="-3"/>
        </w:rPr>
        <w:t> </w:t>
      </w:r>
      <w:r>
        <w:rPr>
          <w:color w:val="00539E"/>
        </w:rPr>
        <w:t>Plan-Based</w:t>
      </w:r>
      <w:r>
        <w:rPr>
          <w:color w:val="00539E"/>
          <w:spacing w:val="-3"/>
        </w:rPr>
        <w:t> </w:t>
      </w:r>
      <w:r>
        <w:rPr>
          <w:color w:val="00539E"/>
        </w:rPr>
        <w:t>Awards</w:t>
      </w:r>
    </w:p>
    <w:p>
      <w:pPr>
        <w:pStyle w:val="BodyText"/>
        <w:spacing w:line="249" w:lineRule="auto" w:before="221"/>
        <w:ind w:left="250" w:right="608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table</w:t>
      </w:r>
      <w:r>
        <w:rPr>
          <w:spacing w:val="-5"/>
        </w:rPr>
        <w:t> </w:t>
      </w:r>
      <w:r>
        <w:rPr/>
        <w:t>sets</w:t>
      </w:r>
      <w:r>
        <w:rPr>
          <w:spacing w:val="-5"/>
        </w:rPr>
        <w:t> </w:t>
      </w:r>
      <w:r>
        <w:rPr/>
        <w:t>forth</w:t>
      </w:r>
      <w:r>
        <w:rPr>
          <w:spacing w:val="-5"/>
        </w:rPr>
        <w:t> </w:t>
      </w:r>
      <w:r>
        <w:rPr/>
        <w:t>certain</w:t>
      </w:r>
      <w:r>
        <w:rPr>
          <w:spacing w:val="-4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with</w:t>
      </w:r>
      <w:r>
        <w:rPr>
          <w:spacing w:val="-5"/>
        </w:rPr>
        <w:t> </w:t>
      </w:r>
      <w:r>
        <w:rPr/>
        <w:t>respect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grants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plan-based</w:t>
      </w:r>
      <w:r>
        <w:rPr>
          <w:spacing w:val="-5"/>
        </w:rPr>
        <w:t> </w:t>
      </w:r>
      <w:r>
        <w:rPr/>
        <w:t>awards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Company’s</w:t>
      </w:r>
      <w:r>
        <w:rPr>
          <w:spacing w:val="1"/>
        </w:rPr>
        <w:t> </w:t>
      </w:r>
      <w:r>
        <w:rPr/>
        <w:t>NEOs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year</w:t>
      </w:r>
      <w:r>
        <w:rPr>
          <w:spacing w:val="-2"/>
        </w:rPr>
        <w:t> </w:t>
      </w:r>
      <w:r>
        <w:rPr/>
        <w:t>ended</w:t>
      </w:r>
      <w:r>
        <w:rPr>
          <w:spacing w:val="-2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31,</w:t>
      </w:r>
      <w:r>
        <w:rPr>
          <w:spacing w:val="-2"/>
        </w:rPr>
        <w:t> </w:t>
      </w:r>
      <w:r>
        <w:rPr/>
        <w:t>2021.</w:t>
      </w:r>
      <w:r>
        <w:rPr>
          <w:spacing w:val="41"/>
        </w:rPr>
        <w:t> </w:t>
      </w:r>
      <w:r>
        <w:rPr/>
        <w:t>All</w:t>
      </w:r>
      <w:r>
        <w:rPr>
          <w:spacing w:val="-2"/>
        </w:rPr>
        <w:t> </w:t>
      </w:r>
      <w:r>
        <w:rPr/>
        <w:t>awards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approved</w:t>
      </w:r>
      <w:r>
        <w:rPr>
          <w:spacing w:val="-2"/>
        </w:rPr>
        <w:t> </w:t>
      </w:r>
      <w:r>
        <w:rPr/>
        <w:t>on</w:t>
      </w:r>
      <w:r>
        <w:rPr>
          <w:spacing w:val="-3"/>
        </w:rPr>
        <w:t> </w:t>
      </w:r>
      <w:r>
        <w:rPr/>
        <w:t>February</w:t>
      </w:r>
      <w:r>
        <w:rPr>
          <w:spacing w:val="-2"/>
        </w:rPr>
        <w:t> </w:t>
      </w:r>
      <w:r>
        <w:rPr/>
        <w:t>8,</w:t>
      </w:r>
      <w:r>
        <w:rPr>
          <w:spacing w:val="-2"/>
        </w:rPr>
        <w:t> </w:t>
      </w:r>
      <w:r>
        <w:rPr/>
        <w:t>2021.</w:t>
      </w:r>
    </w:p>
    <w:p>
      <w:pPr>
        <w:pStyle w:val="BodyText"/>
        <w:spacing w:before="10"/>
        <w:rPr>
          <w:sz w:val="10"/>
        </w:rPr>
      </w:pPr>
    </w:p>
    <w:p>
      <w:pPr>
        <w:spacing w:after="0"/>
        <w:rPr>
          <w:sz w:val="10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before="2"/>
        <w:rPr>
          <w:sz w:val="18"/>
        </w:rPr>
      </w:pPr>
    </w:p>
    <w:p>
      <w:pPr>
        <w:spacing w:line="208" w:lineRule="auto" w:before="0"/>
        <w:ind w:left="2881" w:right="0" w:firstLine="0"/>
        <w:jc w:val="center"/>
        <w:rPr>
          <w:b/>
          <w:sz w:val="16"/>
        </w:rPr>
      </w:pPr>
      <w:r>
        <w:rPr/>
        <w:pict>
          <v:group style="position:absolute;margin-left:176.25pt;margin-top:25.20842pt;width:133.5pt;height:1pt;mso-position-horizontal-relative:page;mso-position-vertical-relative:paragraph;z-index:15771136" id="docshapegroup109" coordorigin="3525,504" coordsize="2670,20">
            <v:shape style="position:absolute;left:3525;top:514;width:2670;height:2" id="docshape110" coordorigin="3525,514" coordsize="2670,0" path="m6195,514l3525,514e" filled="true" fillcolor="#000000" stroked="false">
              <v:path arrowok="t"/>
              <v:fill opacity="0f" type="solid"/>
            </v:shape>
            <v:line style="position:absolute" from="3525,514" to="6195,514" stroked="true" strokeweight="1pt" strokecolor="#00539e">
              <v:stroke dashstyle="solid"/>
            </v:line>
            <w10:wrap type="none"/>
          </v:group>
        </w:pict>
      </w:r>
      <w:r>
        <w:rPr>
          <w:b/>
          <w:sz w:val="16"/>
        </w:rPr>
        <w:t>Estimated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Future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Payouts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Under</w:t>
      </w:r>
      <w:r>
        <w:rPr>
          <w:b/>
          <w:spacing w:val="-41"/>
          <w:sz w:val="16"/>
        </w:rPr>
        <w:t> </w:t>
      </w:r>
      <w:r>
        <w:rPr>
          <w:b/>
          <w:sz w:val="16"/>
        </w:rPr>
        <w:t>Non-Equity Incentive Plan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Awards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1"/>
        <w:rPr>
          <w:b/>
          <w:sz w:val="14"/>
        </w:rPr>
      </w:pPr>
    </w:p>
    <w:p>
      <w:pPr>
        <w:spacing w:line="208" w:lineRule="auto" w:before="0"/>
        <w:ind w:left="328" w:right="-4" w:hanging="125"/>
        <w:jc w:val="left"/>
        <w:rPr>
          <w:b/>
          <w:sz w:val="16"/>
        </w:rPr>
      </w:pPr>
      <w:r>
        <w:rPr/>
        <w:pict>
          <v:group style="position:absolute;margin-left:313.5pt;margin-top:17.20842pt;width:131.25pt;height:1pt;mso-position-horizontal-relative:page;mso-position-vertical-relative:paragraph;z-index:15771648" id="docshapegroup111" coordorigin="6270,344" coordsize="2625,20">
            <v:shape style="position:absolute;left:6270;top:354;width:2625;height:2" id="docshape112" coordorigin="6270,354" coordsize="2625,0" path="m8895,354l6270,354e" filled="true" fillcolor="#000000" stroked="false">
              <v:path arrowok="t"/>
              <v:fill opacity="0f" type="solid"/>
            </v:shape>
            <v:line style="position:absolute" from="6270,354" to="8895,354" stroked="true" strokeweight="1pt" strokecolor="#00539e">
              <v:stroke dashstyle="solid"/>
            </v:line>
            <w10:wrap type="none"/>
          </v:group>
        </w:pict>
      </w:r>
      <w:r>
        <w:rPr>
          <w:b/>
          <w:sz w:val="16"/>
        </w:rPr>
        <w:t>Estimated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Future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Payouts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Under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Equity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Incentive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Plan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Awards</w:t>
      </w:r>
    </w:p>
    <w:p>
      <w:pPr>
        <w:spacing w:line="208" w:lineRule="auto" w:before="111"/>
        <w:ind w:left="241" w:right="0" w:firstLine="0"/>
        <w:jc w:val="center"/>
        <w:rPr>
          <w:b/>
          <w:sz w:val="16"/>
        </w:rPr>
      </w:pPr>
      <w:r>
        <w:rPr/>
        <w:br w:type="column"/>
      </w:r>
      <w:r>
        <w:rPr>
          <w:b/>
          <w:sz w:val="16"/>
        </w:rPr>
        <w:t>All Other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Stock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Awards:</w:t>
      </w:r>
      <w:r>
        <w:rPr>
          <w:b/>
          <w:spacing w:val="1"/>
          <w:sz w:val="16"/>
        </w:rPr>
        <w:t> </w:t>
      </w:r>
      <w:r>
        <w:rPr>
          <w:b/>
          <w:spacing w:val="-1"/>
          <w:sz w:val="16"/>
        </w:rPr>
        <w:t>Number </w:t>
      </w:r>
      <w:r>
        <w:rPr>
          <w:b/>
          <w:sz w:val="16"/>
        </w:rPr>
        <w:t>of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Shares of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Stock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or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spacing w:before="5"/>
        <w:rPr>
          <w:b/>
          <w:sz w:val="19"/>
        </w:rPr>
      </w:pPr>
    </w:p>
    <w:p>
      <w:pPr>
        <w:spacing w:line="208" w:lineRule="auto" w:before="0"/>
        <w:ind w:left="265" w:right="370" w:firstLine="0"/>
        <w:jc w:val="center"/>
        <w:rPr>
          <w:b/>
          <w:sz w:val="16"/>
        </w:rPr>
      </w:pPr>
      <w:r>
        <w:rPr>
          <w:b/>
          <w:sz w:val="16"/>
        </w:rPr>
        <w:t>Grant Date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Fair Value of</w:t>
      </w:r>
      <w:r>
        <w:rPr>
          <w:b/>
          <w:spacing w:val="-43"/>
          <w:sz w:val="16"/>
        </w:rPr>
        <w:t> </w:t>
      </w:r>
      <w:r>
        <w:rPr>
          <w:b/>
          <w:sz w:val="16"/>
        </w:rPr>
        <w:t>Stock and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Option</w:t>
      </w:r>
    </w:p>
    <w:p>
      <w:pPr>
        <w:spacing w:after="0" w:line="208" w:lineRule="auto"/>
        <w:jc w:val="center"/>
        <w:rPr>
          <w:sz w:val="16"/>
        </w:rPr>
        <w:sectPr>
          <w:type w:val="continuous"/>
          <w:pgSz w:w="12240" w:h="15840"/>
          <w:pgMar w:header="0" w:footer="517" w:top="860" w:bottom="280" w:left="740" w:right="700"/>
          <w:cols w:num="4" w:equalWidth="0">
            <w:col w:w="5360" w:space="40"/>
            <w:col w:w="2683" w:space="39"/>
            <w:col w:w="1041" w:space="39"/>
            <w:col w:w="1598"/>
          </w:cols>
        </w:sectPr>
      </w:pPr>
    </w:p>
    <w:p>
      <w:pPr>
        <w:tabs>
          <w:tab w:pos="1791" w:val="left" w:leader="none"/>
        </w:tabs>
        <w:spacing w:before="143"/>
        <w:ind w:left="714" w:right="0" w:firstLine="0"/>
        <w:jc w:val="left"/>
        <w:rPr>
          <w:b/>
          <w:sz w:val="16"/>
        </w:rPr>
      </w:pPr>
      <w:r>
        <w:rPr/>
        <w:pict>
          <v:shape style="position:absolute;margin-left:49.5pt;margin-top:17.833927pt;width:136.15pt;height:163.25pt;mso-position-horizontal-relative:page;mso-position-vertical-relative:paragraph;z-index:15772160" type="#_x0000_t202" id="docshape113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20"/>
                    <w:gridCol w:w="1302"/>
                  </w:tblGrid>
                  <w:tr>
                    <w:trPr>
                      <w:trHeight w:val="330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Marguerite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Nader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86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02/08/21</w:t>
                        </w:r>
                        <w:r>
                          <w:rPr>
                            <w:spacing w:val="3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  <w:vertAlign w:val="superscript"/>
                          </w:rPr>
                          <w:t>(1)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02/09/21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146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Paul</w:t>
                        </w:r>
                        <w:r>
                          <w:rPr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Seavey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146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02/08/21</w:t>
                        </w:r>
                        <w:r>
                          <w:rPr>
                            <w:spacing w:val="3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  <w:vertAlign w:val="superscript"/>
                          </w:rPr>
                          <w:t>(1)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02/09/21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Patrick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Waite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02/08/21</w:t>
                        </w:r>
                        <w:r>
                          <w:rPr>
                            <w:spacing w:val="3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  <w:vertAlign w:val="superscript"/>
                          </w:rPr>
                          <w:t>(1)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02/09/21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146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Roger Maynard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  <w:vertAlign w:val="superscript"/>
                          </w:rPr>
                          <w:t>(5)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146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02/08/21</w:t>
                        </w:r>
                        <w:r>
                          <w:rPr>
                            <w:spacing w:val="3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  <w:vertAlign w:val="superscript"/>
                          </w:rPr>
                          <w:t>(1)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02/09/21</w:t>
                        </w:r>
                      </w:p>
                    </w:tc>
                  </w:tr>
                  <w:tr>
                    <w:trPr>
                      <w:trHeight w:val="405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52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David</w:t>
                        </w:r>
                        <w:r>
                          <w:rPr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Eldersveld</w:t>
                        </w: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161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w w:val="105"/>
                            <w:sz w:val="16"/>
                          </w:rPr>
                          <w:t>02/08/21</w:t>
                        </w:r>
                        <w:r>
                          <w:rPr>
                            <w:spacing w:val="35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w w:val="105"/>
                            <w:sz w:val="16"/>
                            <w:vertAlign w:val="superscript"/>
                          </w:rPr>
                          <w:t>(1)</w:t>
                        </w:r>
                      </w:p>
                    </w:tc>
                  </w:tr>
                  <w:tr>
                    <w:trPr>
                      <w:trHeight w:val="269" w:hRule="atLeast"/>
                    </w:trPr>
                    <w:tc>
                      <w:tcPr>
                        <w:tcW w:w="1420" w:type="dxa"/>
                      </w:tcPr>
                      <w:p>
                        <w:pPr>
                          <w:pStyle w:val="TableParagraph"/>
                          <w:spacing w:line="240" w:lineRule="auto" w:before="0"/>
                          <w:jc w:val="left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02" w:type="dxa"/>
                      </w:tcPr>
                      <w:p>
                        <w:pPr>
                          <w:pStyle w:val="TableParagraph"/>
                          <w:spacing w:line="240" w:lineRule="auto" w:before="55"/>
                          <w:ind w:left="110"/>
                          <w:jc w:val="lef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02/09/21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16"/>
        </w:rPr>
        <w:t>Name</w:t>
        <w:tab/>
      </w:r>
      <w:r>
        <w:rPr>
          <w:b/>
          <w:spacing w:val="-1"/>
          <w:sz w:val="16"/>
        </w:rPr>
        <w:t>Grant</w:t>
      </w:r>
      <w:r>
        <w:rPr>
          <w:b/>
          <w:spacing w:val="-8"/>
          <w:sz w:val="16"/>
        </w:rPr>
        <w:t> </w:t>
      </w:r>
      <w:r>
        <w:rPr>
          <w:b/>
          <w:spacing w:val="-1"/>
          <w:sz w:val="16"/>
        </w:rPr>
        <w:t>Date</w:t>
      </w:r>
    </w:p>
    <w:p>
      <w:pPr>
        <w:spacing w:line="208" w:lineRule="auto" w:before="33"/>
        <w:ind w:left="480" w:right="-11" w:hanging="289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Threshold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($)</w:t>
      </w:r>
    </w:p>
    <w:p>
      <w:pPr>
        <w:spacing w:line="208" w:lineRule="auto" w:before="3"/>
        <w:ind w:left="375" w:right="-13" w:hanging="147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Target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($)</w:t>
      </w:r>
    </w:p>
    <w:p>
      <w:pPr>
        <w:spacing w:line="208" w:lineRule="auto" w:before="3"/>
        <w:ind w:left="503" w:right="-13" w:hanging="271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Maximum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($)</w:t>
      </w:r>
    </w:p>
    <w:p>
      <w:pPr>
        <w:spacing w:line="208" w:lineRule="auto" w:before="3"/>
        <w:ind w:left="453" w:right="-11" w:hanging="289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Threshold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(#)</w:t>
      </w:r>
    </w:p>
    <w:p>
      <w:pPr>
        <w:spacing w:line="165" w:lineRule="auto" w:before="30"/>
        <w:ind w:left="297" w:right="-14" w:hanging="83"/>
        <w:jc w:val="left"/>
        <w:rPr>
          <w:b/>
          <w:sz w:val="10"/>
        </w:rPr>
      </w:pPr>
      <w:r>
        <w:rPr/>
        <w:br w:type="column"/>
      </w:r>
      <w:r>
        <w:rPr>
          <w:b/>
          <w:spacing w:val="-1"/>
          <w:sz w:val="16"/>
        </w:rPr>
        <w:t>Target</w:t>
      </w:r>
      <w:r>
        <w:rPr>
          <w:b/>
          <w:spacing w:val="-42"/>
          <w:sz w:val="16"/>
        </w:rPr>
        <w:t> </w:t>
      </w:r>
      <w:r>
        <w:rPr>
          <w:b/>
          <w:position w:val="-6"/>
          <w:sz w:val="16"/>
        </w:rPr>
        <w:t>(#)</w:t>
      </w:r>
      <w:r>
        <w:rPr>
          <w:b/>
          <w:sz w:val="10"/>
        </w:rPr>
        <w:t>(2)</w:t>
      </w:r>
    </w:p>
    <w:p>
      <w:pPr>
        <w:spacing w:line="208" w:lineRule="auto" w:before="3"/>
        <w:ind w:left="488" w:right="-13" w:hanging="271"/>
        <w:jc w:val="left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Maximum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(#)</w:t>
      </w:r>
    </w:p>
    <w:p>
      <w:pPr>
        <w:spacing w:line="165" w:lineRule="auto" w:before="30"/>
        <w:ind w:left="442" w:right="-18" w:hanging="17"/>
        <w:jc w:val="left"/>
        <w:rPr>
          <w:b/>
          <w:sz w:val="10"/>
        </w:rPr>
      </w:pPr>
      <w:r>
        <w:rPr/>
        <w:br w:type="column"/>
      </w:r>
      <w:r>
        <w:rPr>
          <w:b/>
          <w:sz w:val="16"/>
        </w:rPr>
        <w:t>Units</w:t>
      </w:r>
      <w:r>
        <w:rPr>
          <w:b/>
          <w:spacing w:val="-43"/>
          <w:sz w:val="16"/>
        </w:rPr>
        <w:t> </w:t>
      </w:r>
      <w:r>
        <w:rPr>
          <w:b/>
          <w:position w:val="-6"/>
          <w:sz w:val="16"/>
        </w:rPr>
        <w:t>(#) </w:t>
      </w:r>
      <w:r>
        <w:rPr>
          <w:b/>
          <w:sz w:val="10"/>
        </w:rPr>
        <w:t>(3)</w:t>
      </w:r>
    </w:p>
    <w:p>
      <w:pPr>
        <w:spacing w:line="165" w:lineRule="auto" w:before="30"/>
        <w:ind w:left="761" w:right="544" w:hanging="106"/>
        <w:jc w:val="left"/>
        <w:rPr>
          <w:b/>
          <w:sz w:val="10"/>
        </w:rPr>
      </w:pPr>
      <w:r>
        <w:rPr/>
        <w:br w:type="column"/>
      </w:r>
      <w:r>
        <w:rPr>
          <w:b/>
          <w:sz w:val="16"/>
        </w:rPr>
        <w:t>Awards</w:t>
      </w:r>
      <w:r>
        <w:rPr>
          <w:b/>
          <w:spacing w:val="-42"/>
          <w:sz w:val="16"/>
        </w:rPr>
        <w:t> </w:t>
      </w:r>
      <w:r>
        <w:rPr>
          <w:b/>
          <w:position w:val="-6"/>
          <w:sz w:val="16"/>
        </w:rPr>
        <w:t>($)</w:t>
      </w:r>
      <w:r>
        <w:rPr>
          <w:b/>
          <w:spacing w:val="-1"/>
          <w:position w:val="-6"/>
          <w:sz w:val="16"/>
        </w:rPr>
        <w:t> </w:t>
      </w:r>
      <w:r>
        <w:rPr>
          <w:b/>
          <w:sz w:val="10"/>
        </w:rPr>
        <w:t>(4)</w:t>
      </w:r>
    </w:p>
    <w:p>
      <w:pPr>
        <w:spacing w:after="0" w:line="165" w:lineRule="auto"/>
        <w:jc w:val="left"/>
        <w:rPr>
          <w:sz w:val="10"/>
        </w:rPr>
        <w:sectPr>
          <w:type w:val="continuous"/>
          <w:pgSz w:w="12240" w:h="15840"/>
          <w:pgMar w:header="0" w:footer="517" w:top="860" w:bottom="280" w:left="740" w:right="700"/>
          <w:cols w:num="9" w:equalWidth="0">
            <w:col w:w="2610" w:space="40"/>
            <w:col w:w="965" w:space="39"/>
            <w:col w:w="718" w:space="39"/>
            <w:col w:w="970" w:space="40"/>
            <w:col w:w="938" w:space="40"/>
            <w:col w:w="703" w:space="39"/>
            <w:col w:w="955" w:space="40"/>
            <w:col w:w="827" w:space="40"/>
            <w:col w:w="1797"/>
          </w:cols>
        </w:sectPr>
      </w:pP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513pt;height:1pt;mso-position-horizontal-relative:char;mso-position-vertical-relative:line" id="docshapegroup114" coordorigin="0,0" coordsize="10260,20">
            <v:shape style="position:absolute;left:0;top:10;width:10260;height:2" id="docshape115" coordorigin="0,10" coordsize="10260,0" path="m10260,10l0,10e" filled="true" fillcolor="#000000" stroked="false">
              <v:path arrowok="t"/>
              <v:fill opacity="0f" type="solid"/>
            </v:shape>
            <v:line style="position:absolute" from="0,10" to="10260,10" stroked="true" strokeweight="1pt" strokecolor="#00539e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6202" w:val="left" w:leader="none"/>
          <w:tab w:pos="6998" w:val="left" w:leader="none"/>
          <w:tab w:pos="7942" w:val="left" w:leader="none"/>
          <w:tab w:pos="9097" w:val="left" w:leader="none"/>
          <w:tab w:pos="10281" w:val="left" w:leader="none"/>
        </w:tabs>
        <w:spacing w:before="70"/>
        <w:ind w:left="3457" w:right="0" w:firstLine="0"/>
        <w:jc w:val="left"/>
        <w:rPr>
          <w:sz w:val="16"/>
        </w:rPr>
      </w:pPr>
      <w:r>
        <w:rPr>
          <w:sz w:val="16"/>
        </w:rPr>
        <w:t>—  </w:t>
      </w:r>
      <w:r>
        <w:rPr>
          <w:spacing w:val="41"/>
          <w:sz w:val="16"/>
        </w:rPr>
        <w:t> </w:t>
      </w:r>
      <w:r>
        <w:rPr>
          <w:sz w:val="16"/>
        </w:rPr>
        <w:t>1,315,440  </w:t>
      </w:r>
      <w:r>
        <w:rPr>
          <w:spacing w:val="30"/>
          <w:sz w:val="16"/>
        </w:rPr>
        <w:t> </w:t>
      </w:r>
      <w:r>
        <w:rPr>
          <w:sz w:val="16"/>
        </w:rPr>
        <w:t>1,837,440</w:t>
        <w:tab/>
        <w:t>—</w:t>
        <w:tab/>
        <w:t>—</w:t>
        <w:tab/>
        <w:t>—</w:t>
        <w:tab/>
        <w:t>—</w:t>
        <w:tab/>
        <w:t>—</w:t>
      </w:r>
    </w:p>
    <w:p>
      <w:pPr>
        <w:tabs>
          <w:tab w:pos="4281" w:val="left" w:leader="none"/>
          <w:tab w:pos="5226" w:val="left" w:leader="none"/>
          <w:tab w:pos="6186" w:val="left" w:leader="none"/>
          <w:tab w:pos="6669" w:val="left" w:leader="none"/>
          <w:tab w:pos="7926" w:val="left" w:leader="none"/>
          <w:tab w:pos="8753" w:val="left" w:leader="none"/>
          <w:tab w:pos="9731" w:val="left" w:leader="none"/>
        </w:tabs>
        <w:spacing w:before="116"/>
        <w:ind w:left="3457" w:right="0" w:firstLine="0"/>
        <w:jc w:val="left"/>
        <w:rPr>
          <w:sz w:val="16"/>
        </w:rPr>
      </w:pPr>
      <w:r>
        <w:rPr/>
        <w:pict>
          <v:group style="position:absolute;margin-left:49.5pt;margin-top:15.983927pt;width:513pt;height:1pt;mso-position-horizontal-relative:page;mso-position-vertical-relative:paragraph;z-index:-15688704;mso-wrap-distance-left:0;mso-wrap-distance-right:0" id="docshapegroup116" coordorigin="990,320" coordsize="10260,20">
            <v:shape style="position:absolute;left:990;top:329;width:10260;height:2" id="docshape117" coordorigin="990,330" coordsize="10260,0" path="m11250,330l990,330e" filled="true" fillcolor="#000000" stroked="false">
              <v:path arrowok="t"/>
              <v:fill opacity="0f" type="solid"/>
            </v:shape>
            <v:line style="position:absolute" from="990,330" to="11250,330" stroked="true" strokeweight="1pt" strokecolor="#888a8c">
              <v:stroke dashstyle="solid"/>
            </v:line>
            <w10:wrap type="topAndBottom"/>
          </v:group>
        </w:pict>
      </w:r>
      <w:r>
        <w:rPr>
          <w:sz w:val="16"/>
        </w:rPr>
        <w:t>—</w:t>
        <w:tab/>
        <w:t>—</w:t>
        <w:tab/>
        <w:t>—</w:t>
        <w:tab/>
        <w:t>—</w:t>
        <w:tab/>
        <w:t>14,378</w:t>
        <w:tab/>
        <w:t>—</w:t>
        <w:tab/>
        <w:t>14,258</w:t>
        <w:tab/>
        <w:t>1,826,474</w:t>
      </w:r>
    </w:p>
    <w:p>
      <w:pPr>
        <w:tabs>
          <w:tab w:pos="3864" w:val="left" w:leader="none"/>
          <w:tab w:pos="4809" w:val="left" w:leader="none"/>
          <w:tab w:pos="6202" w:val="left" w:leader="none"/>
          <w:tab w:pos="6998" w:val="left" w:leader="none"/>
          <w:tab w:pos="7942" w:val="left" w:leader="none"/>
          <w:tab w:pos="9097" w:val="left" w:leader="none"/>
          <w:tab w:pos="10281" w:val="left" w:leader="none"/>
        </w:tabs>
        <w:spacing w:before="136"/>
        <w:ind w:left="3457" w:right="0" w:firstLine="0"/>
        <w:jc w:val="left"/>
        <w:rPr>
          <w:sz w:val="16"/>
        </w:rPr>
      </w:pPr>
      <w:r>
        <w:rPr>
          <w:sz w:val="16"/>
        </w:rPr>
        <w:t>—</w:t>
        <w:tab/>
        <w:t>657,463</w:t>
        <w:tab/>
        <w:t>918,361</w:t>
        <w:tab/>
        <w:t>—</w:t>
        <w:tab/>
        <w:t>—</w:t>
        <w:tab/>
        <w:t>—</w:t>
        <w:tab/>
        <w:t>—</w:t>
        <w:tab/>
        <w:t>—</w:t>
      </w:r>
    </w:p>
    <w:p>
      <w:pPr>
        <w:tabs>
          <w:tab w:pos="4281" w:val="left" w:leader="none"/>
          <w:tab w:pos="5226" w:val="left" w:leader="none"/>
          <w:tab w:pos="6186" w:val="left" w:leader="none"/>
          <w:tab w:pos="6669" w:val="left" w:leader="none"/>
          <w:tab w:pos="7926" w:val="left" w:leader="none"/>
          <w:tab w:pos="8753" w:val="left" w:leader="none"/>
          <w:tab w:pos="9731" w:val="left" w:leader="none"/>
        </w:tabs>
        <w:spacing w:before="116"/>
        <w:ind w:left="3457" w:right="0" w:firstLine="0"/>
        <w:jc w:val="left"/>
        <w:rPr>
          <w:sz w:val="16"/>
        </w:rPr>
      </w:pPr>
      <w:r>
        <w:rPr/>
        <w:pict>
          <v:group style="position:absolute;margin-left:49.5pt;margin-top:15.983927pt;width:513pt;height:1pt;mso-position-horizontal-relative:page;mso-position-vertical-relative:paragraph;z-index:-15688192;mso-wrap-distance-left:0;mso-wrap-distance-right:0" id="docshapegroup118" coordorigin="990,320" coordsize="10260,20">
            <v:shape style="position:absolute;left:990;top:329;width:10260;height:2" id="docshape119" coordorigin="990,330" coordsize="10260,0" path="m11250,330l990,330e" filled="true" fillcolor="#000000" stroked="false">
              <v:path arrowok="t"/>
              <v:fill opacity="0f" type="solid"/>
            </v:shape>
            <v:line style="position:absolute" from="990,330" to="11250,330" stroked="true" strokeweight="1pt" strokecolor="#888a8c">
              <v:stroke dashstyle="solid"/>
            </v:line>
            <w10:wrap type="topAndBottom"/>
          </v:group>
        </w:pict>
      </w:r>
      <w:r>
        <w:rPr>
          <w:sz w:val="16"/>
        </w:rPr>
        <w:t>—</w:t>
        <w:tab/>
        <w:t>—</w:t>
        <w:tab/>
        <w:t>—</w:t>
        <w:tab/>
        <w:t>—</w:t>
        <w:tab/>
        <w:t>11,550</w:t>
        <w:tab/>
        <w:t>—</w:t>
        <w:tab/>
        <w:t>11,266</w:t>
        <w:tab/>
        <w:t>1,455,220</w:t>
      </w:r>
    </w:p>
    <w:p>
      <w:pPr>
        <w:tabs>
          <w:tab w:pos="3864" w:val="left" w:leader="none"/>
          <w:tab w:pos="4809" w:val="left" w:leader="none"/>
          <w:tab w:pos="6202" w:val="left" w:leader="none"/>
          <w:tab w:pos="6998" w:val="left" w:leader="none"/>
          <w:tab w:pos="7942" w:val="left" w:leader="none"/>
          <w:tab w:pos="9097" w:val="left" w:leader="none"/>
          <w:tab w:pos="10281" w:val="left" w:leader="none"/>
        </w:tabs>
        <w:spacing w:before="151"/>
        <w:ind w:left="3457" w:right="0" w:firstLine="0"/>
        <w:jc w:val="left"/>
        <w:rPr>
          <w:sz w:val="16"/>
        </w:rPr>
      </w:pPr>
      <w:r>
        <w:rPr>
          <w:sz w:val="16"/>
        </w:rPr>
        <w:t>—</w:t>
        <w:tab/>
        <w:t>657,463</w:t>
        <w:tab/>
        <w:t>918,361</w:t>
        <w:tab/>
        <w:t>—</w:t>
        <w:tab/>
        <w:t>—</w:t>
        <w:tab/>
        <w:t>—</w:t>
        <w:tab/>
        <w:t>—</w:t>
        <w:tab/>
        <w:t>—</w:t>
      </w:r>
    </w:p>
    <w:p>
      <w:pPr>
        <w:tabs>
          <w:tab w:pos="4281" w:val="left" w:leader="none"/>
          <w:tab w:pos="5226" w:val="left" w:leader="none"/>
          <w:tab w:pos="6186" w:val="left" w:leader="none"/>
          <w:tab w:pos="6669" w:val="left" w:leader="none"/>
          <w:tab w:pos="7926" w:val="left" w:leader="none"/>
          <w:tab w:pos="8753" w:val="left" w:leader="none"/>
          <w:tab w:pos="9731" w:val="left" w:leader="none"/>
        </w:tabs>
        <w:spacing w:before="116"/>
        <w:ind w:left="3457" w:right="0" w:firstLine="0"/>
        <w:jc w:val="left"/>
        <w:rPr>
          <w:sz w:val="16"/>
        </w:rPr>
      </w:pPr>
      <w:r>
        <w:rPr/>
        <w:pict>
          <v:group style="position:absolute;margin-left:49.5pt;margin-top:15.983927pt;width:513pt;height:1pt;mso-position-horizontal-relative:page;mso-position-vertical-relative:paragraph;z-index:-15687680;mso-wrap-distance-left:0;mso-wrap-distance-right:0" id="docshapegroup120" coordorigin="990,320" coordsize="10260,20">
            <v:shape style="position:absolute;left:990;top:329;width:10260;height:2" id="docshape121" coordorigin="990,330" coordsize="10260,0" path="m11250,330l990,330e" filled="true" fillcolor="#000000" stroked="false">
              <v:path arrowok="t"/>
              <v:fill opacity="0f" type="solid"/>
            </v:shape>
            <v:line style="position:absolute" from="990,330" to="11250,330" stroked="true" strokeweight="1pt" strokecolor="#888a8c">
              <v:stroke dashstyle="solid"/>
            </v:line>
            <w10:wrap type="topAndBottom"/>
          </v:group>
        </w:pict>
      </w:r>
      <w:r>
        <w:rPr>
          <w:sz w:val="16"/>
        </w:rPr>
        <w:t>—</w:t>
        <w:tab/>
        <w:t>—</w:t>
        <w:tab/>
        <w:t>—</w:t>
        <w:tab/>
        <w:t>—</w:t>
        <w:tab/>
        <w:t>11,550</w:t>
        <w:tab/>
        <w:t>—</w:t>
        <w:tab/>
        <w:t>11,266</w:t>
        <w:tab/>
        <w:t>1,455,220</w:t>
      </w:r>
    </w:p>
    <w:p>
      <w:pPr>
        <w:tabs>
          <w:tab w:pos="3864" w:val="left" w:leader="none"/>
          <w:tab w:pos="4809" w:val="left" w:leader="none"/>
          <w:tab w:pos="6202" w:val="left" w:leader="none"/>
          <w:tab w:pos="6998" w:val="left" w:leader="none"/>
          <w:tab w:pos="7942" w:val="left" w:leader="none"/>
          <w:tab w:pos="9097" w:val="left" w:leader="none"/>
          <w:tab w:pos="10281" w:val="left" w:leader="none"/>
        </w:tabs>
        <w:spacing w:before="136"/>
        <w:ind w:left="3457" w:right="0" w:firstLine="0"/>
        <w:jc w:val="left"/>
        <w:rPr>
          <w:sz w:val="16"/>
        </w:rPr>
      </w:pPr>
      <w:r>
        <w:rPr>
          <w:sz w:val="16"/>
        </w:rPr>
        <w:t>—</w:t>
        <w:tab/>
        <w:t>657,463</w:t>
        <w:tab/>
        <w:t>918,361</w:t>
        <w:tab/>
        <w:t>—</w:t>
        <w:tab/>
        <w:t>—</w:t>
        <w:tab/>
        <w:t>—</w:t>
        <w:tab/>
        <w:t>—</w:t>
        <w:tab/>
        <w:t>—</w:t>
      </w:r>
    </w:p>
    <w:p>
      <w:pPr>
        <w:tabs>
          <w:tab w:pos="4281" w:val="left" w:leader="none"/>
          <w:tab w:pos="5226" w:val="left" w:leader="none"/>
          <w:tab w:pos="6186" w:val="left" w:leader="none"/>
          <w:tab w:pos="6758" w:val="left" w:leader="none"/>
          <w:tab w:pos="7926" w:val="left" w:leader="none"/>
          <w:tab w:pos="8842" w:val="left" w:leader="none"/>
          <w:tab w:pos="9864" w:val="left" w:leader="none"/>
        </w:tabs>
        <w:spacing w:before="116"/>
        <w:ind w:left="3457" w:right="0" w:firstLine="0"/>
        <w:jc w:val="left"/>
        <w:rPr>
          <w:sz w:val="16"/>
        </w:rPr>
      </w:pPr>
      <w:r>
        <w:rPr/>
        <w:pict>
          <v:group style="position:absolute;margin-left:49.5pt;margin-top:15.983927pt;width:513pt;height:1pt;mso-position-horizontal-relative:page;mso-position-vertical-relative:paragraph;z-index:-15687168;mso-wrap-distance-left:0;mso-wrap-distance-right:0" id="docshapegroup122" coordorigin="990,320" coordsize="10260,20">
            <v:shape style="position:absolute;left:990;top:329;width:10260;height:2" id="docshape123" coordorigin="990,330" coordsize="10260,0" path="m11250,330l990,330e" filled="true" fillcolor="#000000" stroked="false">
              <v:path arrowok="t"/>
              <v:fill opacity="0f" type="solid"/>
            </v:shape>
            <v:line style="position:absolute" from="990,330" to="11250,330" stroked="true" strokeweight="1pt" strokecolor="#888a8c">
              <v:stroke dashstyle="solid"/>
            </v:line>
            <w10:wrap type="topAndBottom"/>
          </v:group>
        </w:pict>
      </w:r>
      <w:r>
        <w:rPr>
          <w:sz w:val="16"/>
        </w:rPr>
        <w:t>—</w:t>
        <w:tab/>
        <w:t>—</w:t>
        <w:tab/>
        <w:t>—</w:t>
        <w:tab/>
        <w:t>—</w:t>
        <w:tab/>
        <w:t>6,369</w:t>
        <w:tab/>
        <w:t>—</w:t>
        <w:tab/>
        <w:t>6,213</w:t>
        <w:tab/>
        <w:t>802,512</w:t>
      </w:r>
    </w:p>
    <w:p>
      <w:pPr>
        <w:tabs>
          <w:tab w:pos="3864" w:val="left" w:leader="none"/>
          <w:tab w:pos="4809" w:val="left" w:leader="none"/>
          <w:tab w:pos="6186" w:val="left" w:leader="none"/>
          <w:tab w:pos="6958" w:val="left" w:leader="none"/>
          <w:tab w:pos="7926" w:val="left" w:leader="none"/>
          <w:tab w:pos="9081" w:val="left" w:leader="none"/>
          <w:tab w:pos="10281" w:val="left" w:leader="none"/>
        </w:tabs>
        <w:spacing w:before="104"/>
        <w:ind w:left="3441" w:right="0" w:firstLine="0"/>
        <w:jc w:val="left"/>
        <w:rPr>
          <w:sz w:val="16"/>
        </w:rPr>
      </w:pPr>
      <w:r>
        <w:rPr>
          <w:sz w:val="16"/>
        </w:rPr>
        <w:t>—</w:t>
        <w:tab/>
        <w:t>657,463</w:t>
        <w:tab/>
        <w:t>918,361</w:t>
        <w:tab/>
        <w:t>—</w:t>
        <w:tab/>
      </w:r>
      <w:r>
        <w:rPr>
          <w:position w:val="1"/>
          <w:sz w:val="20"/>
        </w:rPr>
        <w:t>—</w:t>
        <w:tab/>
      </w:r>
      <w:r>
        <w:rPr>
          <w:sz w:val="16"/>
        </w:rPr>
        <w:t>—</w:t>
        <w:tab/>
        <w:t>—</w:t>
        <w:tab/>
        <w:t>—</w:t>
      </w:r>
    </w:p>
    <w:p>
      <w:pPr>
        <w:tabs>
          <w:tab w:pos="4281" w:val="left" w:leader="none"/>
          <w:tab w:pos="5226" w:val="left" w:leader="none"/>
          <w:tab w:pos="6186" w:val="left" w:leader="none"/>
          <w:tab w:pos="6758" w:val="left" w:leader="none"/>
          <w:tab w:pos="7926" w:val="left" w:leader="none"/>
          <w:tab w:pos="8842" w:val="left" w:leader="none"/>
          <w:tab w:pos="9864" w:val="left" w:leader="none"/>
        </w:tabs>
        <w:spacing w:before="116"/>
        <w:ind w:left="3441" w:right="0" w:firstLine="0"/>
        <w:jc w:val="left"/>
        <w:rPr>
          <w:sz w:val="16"/>
        </w:rPr>
      </w:pPr>
      <w:r>
        <w:rPr/>
        <w:pict>
          <v:group style="position:absolute;margin-left:49.5pt;margin-top:15.983896pt;width:513pt;height:1pt;mso-position-horizontal-relative:page;mso-position-vertical-relative:paragraph;z-index:-15686656;mso-wrap-distance-left:0;mso-wrap-distance-right:0" id="docshapegroup124" coordorigin="990,320" coordsize="10260,20">
            <v:shape style="position:absolute;left:990;top:329;width:10260;height:2" id="docshape125" coordorigin="990,330" coordsize="10260,0" path="m11250,330l990,330e" filled="true" fillcolor="#000000" stroked="false">
              <v:path arrowok="t"/>
              <v:fill opacity="0f" type="solid"/>
            </v:shape>
            <v:line style="position:absolute" from="990,330" to="11250,330" stroked="true" strokeweight="1pt" strokecolor="#00539e">
              <v:stroke dashstyle="solid"/>
            </v:line>
            <w10:wrap type="topAndBottom"/>
          </v:group>
        </w:pict>
      </w:r>
      <w:r>
        <w:rPr>
          <w:sz w:val="16"/>
        </w:rPr>
        <w:t>—</w:t>
        <w:tab/>
        <w:t>—</w:t>
        <w:tab/>
        <w:t>—</w:t>
        <w:tab/>
        <w:t>—</w:t>
        <w:tab/>
        <w:t>6,618</w:t>
        <w:tab/>
        <w:t>—</w:t>
        <w:tab/>
        <w:t>6,879</w:t>
        <w:tab/>
        <w:t>860,826</w:t>
      </w:r>
    </w:p>
    <w:p>
      <w:pPr>
        <w:pStyle w:val="BodyText"/>
        <w:spacing w:before="7"/>
        <w:rPr>
          <w:sz w:val="22"/>
        </w:rPr>
      </w:pPr>
    </w:p>
    <w:p>
      <w:pPr>
        <w:pStyle w:val="ListParagraph"/>
        <w:numPr>
          <w:ilvl w:val="0"/>
          <w:numId w:val="19"/>
        </w:numPr>
        <w:tabs>
          <w:tab w:pos="610" w:val="left" w:leader="none"/>
        </w:tabs>
        <w:spacing w:line="249" w:lineRule="auto" w:before="0" w:after="0"/>
        <w:ind w:left="610" w:right="379" w:hanging="360"/>
        <w:jc w:val="left"/>
        <w:rPr>
          <w:sz w:val="16"/>
        </w:rPr>
      </w:pPr>
      <w:r>
        <w:rPr>
          <w:sz w:val="16"/>
        </w:rPr>
        <w:t>Payment of the 2021 award was based on the following performance targets being achieved: 14.0% related to achieving a benchmark in</w:t>
      </w:r>
      <w:r>
        <w:rPr>
          <w:spacing w:val="1"/>
          <w:sz w:val="16"/>
        </w:rPr>
        <w:t> </w:t>
      </w:r>
      <w:r>
        <w:rPr>
          <w:sz w:val="16"/>
        </w:rPr>
        <w:t>core MH revenues; 14.0% related to achieving a benchmark in core resort revenues and membership dues revenues; 14.0% related to</w:t>
      </w:r>
      <w:r>
        <w:rPr>
          <w:spacing w:val="1"/>
          <w:sz w:val="16"/>
        </w:rPr>
        <w:t> </w:t>
      </w:r>
      <w:r>
        <w:rPr>
          <w:sz w:val="16"/>
        </w:rPr>
        <w:t>achieving a benchmark in site and member optimization; 14.0% related to achieving a benchmark in core net operating income;14.0%</w:t>
      </w:r>
      <w:r>
        <w:rPr>
          <w:spacing w:val="1"/>
          <w:sz w:val="16"/>
        </w:rPr>
        <w:t> </w:t>
      </w:r>
      <w:r>
        <w:rPr>
          <w:sz w:val="16"/>
        </w:rPr>
        <w:t>related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achieving</w:t>
      </w:r>
      <w:r>
        <w:rPr>
          <w:spacing w:val="-4"/>
          <w:sz w:val="16"/>
        </w:rPr>
        <w:t> </w:t>
      </w:r>
      <w:r>
        <w:rPr>
          <w:sz w:val="16"/>
        </w:rPr>
        <w:t>a</w:t>
      </w:r>
      <w:r>
        <w:rPr>
          <w:spacing w:val="-4"/>
          <w:sz w:val="16"/>
        </w:rPr>
        <w:t> </w:t>
      </w:r>
      <w:r>
        <w:rPr>
          <w:sz w:val="16"/>
        </w:rPr>
        <w:t>working</w:t>
      </w:r>
      <w:r>
        <w:rPr>
          <w:spacing w:val="-4"/>
          <w:sz w:val="16"/>
        </w:rPr>
        <w:t> </w:t>
      </w:r>
      <w:r>
        <w:rPr>
          <w:sz w:val="16"/>
        </w:rPr>
        <w:t>capital</w:t>
      </w:r>
      <w:r>
        <w:rPr>
          <w:spacing w:val="-3"/>
          <w:sz w:val="16"/>
        </w:rPr>
        <w:t> </w:t>
      </w:r>
      <w:r>
        <w:rPr>
          <w:sz w:val="16"/>
        </w:rPr>
        <w:t>benchmark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30.0%</w:t>
      </w:r>
      <w:r>
        <w:rPr>
          <w:spacing w:val="-3"/>
          <w:sz w:val="16"/>
        </w:rPr>
        <w:t> </w:t>
      </w:r>
      <w:r>
        <w:rPr>
          <w:sz w:val="16"/>
        </w:rPr>
        <w:t>was</w:t>
      </w:r>
      <w:r>
        <w:rPr>
          <w:spacing w:val="-3"/>
          <w:sz w:val="16"/>
        </w:rPr>
        <w:t> </w:t>
      </w:r>
      <w:r>
        <w:rPr>
          <w:sz w:val="16"/>
        </w:rPr>
        <w:t>at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discretion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Compensation</w:t>
      </w:r>
      <w:r>
        <w:rPr>
          <w:spacing w:val="-4"/>
          <w:sz w:val="16"/>
        </w:rPr>
        <w:t> </w:t>
      </w:r>
      <w:r>
        <w:rPr>
          <w:sz w:val="16"/>
        </w:rPr>
        <w:t>Committee</w:t>
      </w:r>
      <w:r>
        <w:rPr>
          <w:spacing w:val="-4"/>
          <w:sz w:val="16"/>
        </w:rPr>
        <w:t> </w:t>
      </w:r>
      <w:r>
        <w:rPr>
          <w:sz w:val="16"/>
        </w:rPr>
        <w:t>after</w:t>
      </w:r>
      <w:r>
        <w:rPr>
          <w:spacing w:val="-3"/>
          <w:sz w:val="16"/>
        </w:rPr>
        <w:t> </w:t>
      </w:r>
      <w:r>
        <w:rPr>
          <w:sz w:val="16"/>
        </w:rPr>
        <w:t>evaluation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each</w:t>
      </w:r>
      <w:r>
        <w:rPr>
          <w:spacing w:val="1"/>
          <w:sz w:val="16"/>
        </w:rPr>
        <w:t> </w:t>
      </w:r>
      <w:r>
        <w:rPr>
          <w:sz w:val="16"/>
        </w:rPr>
        <w:t>NEO's performance, including an analysis of successes and strategic initiatives during the year. In addition, each NEO was awarded an</w:t>
      </w:r>
      <w:r>
        <w:rPr>
          <w:spacing w:val="1"/>
          <w:sz w:val="16"/>
        </w:rPr>
        <w:t> </w:t>
      </w:r>
      <w:r>
        <w:rPr>
          <w:sz w:val="16"/>
        </w:rPr>
        <w:t>additional amount upon achievement of the 2021 Stretch Goals. The 2021 maximum amounts represent the total potential bonus award.</w:t>
      </w:r>
      <w:r>
        <w:rPr>
          <w:spacing w:val="1"/>
          <w:sz w:val="16"/>
        </w:rPr>
        <w:t> </w:t>
      </w:r>
      <w:r>
        <w:rPr>
          <w:sz w:val="16"/>
        </w:rPr>
        <w:t>The 2021 target amounts reflect the non-discretionary portion of the total potential bonus award. Payment of the 2021 award was made in</w:t>
      </w:r>
      <w:r>
        <w:rPr>
          <w:spacing w:val="1"/>
          <w:sz w:val="16"/>
        </w:rPr>
        <w:t> </w:t>
      </w:r>
      <w:r>
        <w:rPr>
          <w:sz w:val="16"/>
        </w:rPr>
        <w:t>January</w:t>
      </w:r>
      <w:r>
        <w:rPr>
          <w:spacing w:val="-2"/>
          <w:sz w:val="16"/>
        </w:rPr>
        <w:t> </w:t>
      </w:r>
      <w:r>
        <w:rPr>
          <w:sz w:val="16"/>
        </w:rPr>
        <w:t>2022.</w:t>
      </w:r>
    </w:p>
    <w:p>
      <w:pPr>
        <w:pStyle w:val="ListParagraph"/>
        <w:numPr>
          <w:ilvl w:val="0"/>
          <w:numId w:val="19"/>
        </w:numPr>
        <w:tabs>
          <w:tab w:pos="610" w:val="left" w:leader="none"/>
        </w:tabs>
        <w:spacing w:line="249" w:lineRule="auto" w:before="105" w:after="0"/>
        <w:ind w:left="610" w:right="788" w:hanging="360"/>
        <w:jc w:val="left"/>
        <w:rPr>
          <w:sz w:val="16"/>
        </w:rPr>
      </w:pPr>
      <w:r>
        <w:rPr>
          <w:sz w:val="16"/>
        </w:rPr>
        <w:t>These</w:t>
      </w:r>
      <w:r>
        <w:rPr>
          <w:spacing w:val="-4"/>
          <w:sz w:val="16"/>
        </w:rPr>
        <w:t> </w:t>
      </w:r>
      <w:r>
        <w:rPr>
          <w:sz w:val="16"/>
        </w:rPr>
        <w:t>amounts</w:t>
      </w:r>
      <w:r>
        <w:rPr>
          <w:spacing w:val="-3"/>
          <w:sz w:val="16"/>
        </w:rPr>
        <w:t> </w:t>
      </w:r>
      <w:r>
        <w:rPr>
          <w:sz w:val="16"/>
        </w:rPr>
        <w:t>reflect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number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Restricted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granted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z w:val="16"/>
        </w:rPr>
        <w:t>each</w:t>
      </w:r>
      <w:r>
        <w:rPr>
          <w:spacing w:val="-4"/>
          <w:sz w:val="16"/>
        </w:rPr>
        <w:t> </w:t>
      </w:r>
      <w:r>
        <w:rPr>
          <w:sz w:val="16"/>
        </w:rPr>
        <w:t>NEO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includes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performance-based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portion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2019</w:t>
      </w:r>
      <w:r>
        <w:rPr>
          <w:spacing w:val="-11"/>
          <w:sz w:val="16"/>
        </w:rPr>
        <w:t> </w:t>
      </w:r>
      <w:r>
        <w:rPr>
          <w:sz w:val="16"/>
        </w:rPr>
        <w:t>Awards,</w:t>
      </w:r>
      <w:r>
        <w:rPr>
          <w:spacing w:val="-2"/>
          <w:sz w:val="16"/>
        </w:rPr>
        <w:t> </w:t>
      </w:r>
      <w:r>
        <w:rPr>
          <w:sz w:val="16"/>
        </w:rPr>
        <w:t>2020</w:t>
      </w:r>
      <w:r>
        <w:rPr>
          <w:spacing w:val="-11"/>
          <w:sz w:val="16"/>
        </w:rPr>
        <w:t> </w:t>
      </w:r>
      <w:r>
        <w:rPr>
          <w:sz w:val="16"/>
        </w:rPr>
        <w:t>Awards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2021</w:t>
      </w:r>
      <w:r>
        <w:rPr>
          <w:spacing w:val="-11"/>
          <w:sz w:val="16"/>
        </w:rPr>
        <w:t> </w:t>
      </w:r>
      <w:r>
        <w:rPr>
          <w:sz w:val="16"/>
        </w:rPr>
        <w:t>Awards</w:t>
      </w:r>
      <w:r>
        <w:rPr>
          <w:spacing w:val="-3"/>
          <w:sz w:val="16"/>
        </w:rPr>
        <w:t> </w:t>
      </w:r>
      <w:r>
        <w:rPr>
          <w:sz w:val="16"/>
        </w:rPr>
        <w:t>with</w:t>
      </w:r>
      <w:r>
        <w:rPr>
          <w:spacing w:val="-3"/>
          <w:sz w:val="16"/>
        </w:rPr>
        <w:t> </w:t>
      </w:r>
      <w:r>
        <w:rPr>
          <w:sz w:val="16"/>
        </w:rPr>
        <w:t>performance</w:t>
      </w:r>
      <w:r>
        <w:rPr>
          <w:spacing w:val="-3"/>
          <w:sz w:val="16"/>
        </w:rPr>
        <w:t> </w:t>
      </w:r>
      <w:r>
        <w:rPr>
          <w:sz w:val="16"/>
        </w:rPr>
        <w:t>conditions</w:t>
      </w:r>
      <w:r>
        <w:rPr>
          <w:spacing w:val="-3"/>
          <w:sz w:val="16"/>
        </w:rPr>
        <w:t> </w:t>
      </w:r>
      <w:r>
        <w:rPr>
          <w:sz w:val="16"/>
        </w:rPr>
        <w:t>that</w:t>
      </w:r>
      <w:r>
        <w:rPr>
          <w:spacing w:val="-2"/>
          <w:sz w:val="16"/>
        </w:rPr>
        <w:t> </w:t>
      </w:r>
      <w:r>
        <w:rPr>
          <w:sz w:val="16"/>
        </w:rPr>
        <w:t>were</w:t>
      </w:r>
      <w:r>
        <w:rPr>
          <w:spacing w:val="-4"/>
          <w:sz w:val="16"/>
        </w:rPr>
        <w:t> </w:t>
      </w:r>
      <w:r>
        <w:rPr>
          <w:sz w:val="16"/>
        </w:rPr>
        <w:t>approved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February</w:t>
      </w:r>
      <w:r>
        <w:rPr>
          <w:spacing w:val="-2"/>
          <w:sz w:val="16"/>
        </w:rPr>
        <w:t> </w:t>
      </w:r>
      <w:r>
        <w:rPr>
          <w:sz w:val="16"/>
        </w:rPr>
        <w:t>8,</w:t>
      </w:r>
      <w:r>
        <w:rPr>
          <w:spacing w:val="-3"/>
          <w:sz w:val="16"/>
        </w:rPr>
        <w:t> </w:t>
      </w:r>
      <w:r>
        <w:rPr>
          <w:sz w:val="16"/>
        </w:rPr>
        <w:t>2021.</w:t>
      </w:r>
    </w:p>
    <w:p>
      <w:pPr>
        <w:pStyle w:val="ListParagraph"/>
        <w:numPr>
          <w:ilvl w:val="0"/>
          <w:numId w:val="19"/>
        </w:numPr>
        <w:tabs>
          <w:tab w:pos="610" w:val="left" w:leader="none"/>
        </w:tabs>
        <w:spacing w:line="249" w:lineRule="auto" w:before="102" w:after="0"/>
        <w:ind w:left="610" w:right="405" w:hanging="360"/>
        <w:jc w:val="left"/>
        <w:rPr>
          <w:sz w:val="16"/>
        </w:rPr>
      </w:pPr>
      <w:r>
        <w:rPr>
          <w:sz w:val="16"/>
        </w:rPr>
        <w:t>These</w:t>
      </w:r>
      <w:r>
        <w:rPr>
          <w:spacing w:val="-4"/>
          <w:sz w:val="16"/>
        </w:rPr>
        <w:t> </w:t>
      </w:r>
      <w:r>
        <w:rPr>
          <w:sz w:val="16"/>
        </w:rPr>
        <w:t>amounts</w:t>
      </w:r>
      <w:r>
        <w:rPr>
          <w:spacing w:val="-2"/>
          <w:sz w:val="16"/>
        </w:rPr>
        <w:t> </w:t>
      </w:r>
      <w:r>
        <w:rPr>
          <w:sz w:val="16"/>
        </w:rPr>
        <w:t>reflect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number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Restricted</w:t>
      </w:r>
      <w:r>
        <w:rPr>
          <w:spacing w:val="-4"/>
          <w:sz w:val="16"/>
        </w:rPr>
        <w:t> </w:t>
      </w:r>
      <w:r>
        <w:rPr>
          <w:sz w:val="16"/>
        </w:rPr>
        <w:t>Common</w:t>
      </w:r>
      <w:r>
        <w:rPr>
          <w:spacing w:val="-3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granted</w:t>
      </w:r>
      <w:r>
        <w:rPr>
          <w:spacing w:val="-3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each</w:t>
      </w:r>
      <w:r>
        <w:rPr>
          <w:spacing w:val="-3"/>
          <w:sz w:val="16"/>
        </w:rPr>
        <w:t> </w:t>
      </w:r>
      <w:r>
        <w:rPr>
          <w:sz w:val="16"/>
        </w:rPr>
        <w:t>NEO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includes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time-based</w:t>
      </w:r>
      <w:r>
        <w:rPr>
          <w:spacing w:val="-3"/>
          <w:sz w:val="16"/>
        </w:rPr>
        <w:t> </w:t>
      </w:r>
      <w:r>
        <w:rPr>
          <w:sz w:val="16"/>
        </w:rPr>
        <w:t>portion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2021</w:t>
      </w:r>
      <w:r>
        <w:rPr>
          <w:spacing w:val="-10"/>
          <w:sz w:val="16"/>
        </w:rPr>
        <w:t> </w:t>
      </w:r>
      <w:r>
        <w:rPr>
          <w:sz w:val="16"/>
        </w:rPr>
        <w:t>Awards with</w:t>
      </w:r>
      <w:r>
        <w:rPr>
          <w:spacing w:val="-1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Grant Date</w:t>
      </w:r>
      <w:r>
        <w:rPr>
          <w:spacing w:val="-2"/>
          <w:sz w:val="16"/>
        </w:rPr>
        <w:t> </w:t>
      </w:r>
      <w:r>
        <w:rPr>
          <w:sz w:val="16"/>
        </w:rPr>
        <w:t>of February 9, 2021.</w:t>
      </w:r>
    </w:p>
    <w:p>
      <w:pPr>
        <w:pStyle w:val="ListParagraph"/>
        <w:numPr>
          <w:ilvl w:val="0"/>
          <w:numId w:val="19"/>
        </w:numPr>
        <w:tabs>
          <w:tab w:pos="610" w:val="left" w:leader="none"/>
        </w:tabs>
        <w:spacing w:line="249" w:lineRule="auto" w:before="101" w:after="0"/>
        <w:ind w:left="610" w:right="363" w:hanging="360"/>
        <w:jc w:val="left"/>
        <w:rPr>
          <w:sz w:val="16"/>
        </w:rPr>
      </w:pPr>
      <w:r>
        <w:rPr>
          <w:sz w:val="16"/>
        </w:rPr>
        <w:t>This amount reflects the grant-date fair value of restricted stock awards calculated in accordance with FASB ASC 718 based on the</w:t>
      </w:r>
      <w:r>
        <w:rPr>
          <w:spacing w:val="1"/>
          <w:sz w:val="16"/>
        </w:rPr>
        <w:t> </w:t>
      </w:r>
      <w:r>
        <w:rPr>
          <w:spacing w:val="-1"/>
          <w:sz w:val="16"/>
        </w:rPr>
        <w:t>Company's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closing</w:t>
      </w:r>
      <w:r>
        <w:rPr>
          <w:spacing w:val="-3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price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$63.78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February</w:t>
      </w:r>
      <w:r>
        <w:rPr>
          <w:spacing w:val="-2"/>
          <w:sz w:val="16"/>
        </w:rPr>
        <w:t> </w:t>
      </w:r>
      <w:r>
        <w:rPr>
          <w:sz w:val="16"/>
        </w:rPr>
        <w:t>9,</w:t>
      </w:r>
      <w:r>
        <w:rPr>
          <w:spacing w:val="-3"/>
          <w:sz w:val="16"/>
        </w:rPr>
        <w:t> </w:t>
      </w:r>
      <w:r>
        <w:rPr>
          <w:sz w:val="16"/>
        </w:rPr>
        <w:t>2021,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Grant</w:t>
      </w:r>
      <w:r>
        <w:rPr>
          <w:spacing w:val="-2"/>
          <w:sz w:val="16"/>
        </w:rPr>
        <w:t> </w:t>
      </w:r>
      <w:r>
        <w:rPr>
          <w:sz w:val="16"/>
        </w:rPr>
        <w:t>Date</w:t>
      </w:r>
      <w:r>
        <w:rPr>
          <w:spacing w:val="-4"/>
          <w:sz w:val="16"/>
        </w:rPr>
        <w:t> </w:t>
      </w:r>
      <w:r>
        <w:rPr>
          <w:sz w:val="16"/>
        </w:rPr>
        <w:t>Fair</w:t>
      </w:r>
      <w:r>
        <w:rPr>
          <w:spacing w:val="-2"/>
          <w:sz w:val="16"/>
        </w:rPr>
        <w:t> </w:t>
      </w:r>
      <w:r>
        <w:rPr>
          <w:sz w:val="16"/>
        </w:rPr>
        <w:t>Value</w:t>
      </w:r>
      <w:r>
        <w:rPr>
          <w:spacing w:val="-4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time-based</w:t>
      </w:r>
      <w:r>
        <w:rPr>
          <w:spacing w:val="-3"/>
          <w:sz w:val="16"/>
        </w:rPr>
        <w:t> </w:t>
      </w:r>
      <w:r>
        <w:rPr>
          <w:sz w:val="16"/>
        </w:rPr>
        <w:t>portion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2021</w:t>
      </w:r>
      <w:r>
        <w:rPr>
          <w:spacing w:val="-11"/>
          <w:sz w:val="16"/>
        </w:rPr>
        <w:t> </w:t>
      </w:r>
      <w:r>
        <w:rPr>
          <w:sz w:val="16"/>
        </w:rPr>
        <w:t>Awards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1"/>
          <w:sz w:val="16"/>
        </w:rPr>
        <w:t> </w:t>
      </w:r>
      <w:r>
        <w:rPr>
          <w:sz w:val="16"/>
        </w:rPr>
        <w:t>the Grant Date Fair Value of the performance-based portion of the 2019 Awards, 2020 Awards and 2021 Awards with performance</w:t>
      </w:r>
      <w:r>
        <w:rPr>
          <w:spacing w:val="1"/>
          <w:sz w:val="16"/>
        </w:rPr>
        <w:t> </w:t>
      </w:r>
      <w:r>
        <w:rPr>
          <w:sz w:val="16"/>
        </w:rPr>
        <w:t>conditions</w:t>
      </w:r>
      <w:r>
        <w:rPr>
          <w:spacing w:val="-1"/>
          <w:sz w:val="16"/>
        </w:rPr>
        <w:t> </w:t>
      </w:r>
      <w:r>
        <w:rPr>
          <w:sz w:val="16"/>
        </w:rPr>
        <w:t>that were</w:t>
      </w:r>
      <w:r>
        <w:rPr>
          <w:spacing w:val="-1"/>
          <w:sz w:val="16"/>
        </w:rPr>
        <w:t> </w:t>
      </w:r>
      <w:r>
        <w:rPr>
          <w:sz w:val="16"/>
        </w:rPr>
        <w:t>approved</w:t>
      </w:r>
      <w:r>
        <w:rPr>
          <w:spacing w:val="-1"/>
          <w:sz w:val="16"/>
        </w:rPr>
        <w:t> </w:t>
      </w:r>
      <w:r>
        <w:rPr>
          <w:sz w:val="16"/>
        </w:rPr>
        <w:t>on</w:t>
      </w:r>
      <w:r>
        <w:rPr>
          <w:spacing w:val="-1"/>
          <w:sz w:val="16"/>
        </w:rPr>
        <w:t> </w:t>
      </w:r>
      <w:r>
        <w:rPr>
          <w:sz w:val="16"/>
        </w:rPr>
        <w:t>February</w:t>
      </w:r>
      <w:r>
        <w:rPr>
          <w:spacing w:val="-1"/>
          <w:sz w:val="16"/>
        </w:rPr>
        <w:t> </w:t>
      </w:r>
      <w:r>
        <w:rPr>
          <w:sz w:val="16"/>
        </w:rPr>
        <w:t>8, 2021.</w:t>
      </w:r>
    </w:p>
    <w:p>
      <w:pPr>
        <w:pStyle w:val="ListParagraph"/>
        <w:numPr>
          <w:ilvl w:val="0"/>
          <w:numId w:val="19"/>
        </w:numPr>
        <w:tabs>
          <w:tab w:pos="610" w:val="left" w:leader="none"/>
        </w:tabs>
        <w:spacing w:line="249" w:lineRule="auto" w:before="103" w:after="0"/>
        <w:ind w:left="610" w:right="417" w:hanging="360"/>
        <w:jc w:val="left"/>
        <w:rPr>
          <w:sz w:val="16"/>
        </w:rPr>
      </w:pPr>
      <w:r>
        <w:rPr>
          <w:sz w:val="16"/>
        </w:rPr>
        <w:t>In</w:t>
      </w:r>
      <w:r>
        <w:rPr>
          <w:spacing w:val="-5"/>
          <w:sz w:val="16"/>
        </w:rPr>
        <w:t> </w:t>
      </w:r>
      <w:r>
        <w:rPr>
          <w:sz w:val="16"/>
        </w:rPr>
        <w:t>conjunction</w:t>
      </w:r>
      <w:r>
        <w:rPr>
          <w:spacing w:val="-4"/>
          <w:sz w:val="16"/>
        </w:rPr>
        <w:t> </w:t>
      </w:r>
      <w:r>
        <w:rPr>
          <w:sz w:val="16"/>
        </w:rPr>
        <w:t>with</w:t>
      </w:r>
      <w:r>
        <w:rPr>
          <w:spacing w:val="-4"/>
          <w:sz w:val="16"/>
        </w:rPr>
        <w:t> </w:t>
      </w:r>
      <w:r>
        <w:rPr>
          <w:sz w:val="16"/>
        </w:rPr>
        <w:t>his</w:t>
      </w:r>
      <w:r>
        <w:rPr>
          <w:spacing w:val="-3"/>
          <w:sz w:val="16"/>
        </w:rPr>
        <w:t> </w:t>
      </w:r>
      <w:r>
        <w:rPr>
          <w:sz w:val="16"/>
        </w:rPr>
        <w:t>retirement</w:t>
      </w:r>
      <w:r>
        <w:rPr>
          <w:spacing w:val="-3"/>
          <w:sz w:val="16"/>
        </w:rPr>
        <w:t> </w:t>
      </w:r>
      <w:r>
        <w:rPr>
          <w:sz w:val="16"/>
        </w:rPr>
        <w:t>effective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March</w:t>
      </w:r>
      <w:r>
        <w:rPr>
          <w:spacing w:val="-4"/>
          <w:sz w:val="16"/>
        </w:rPr>
        <w:t> </w:t>
      </w:r>
      <w:r>
        <w:rPr>
          <w:sz w:val="16"/>
        </w:rPr>
        <w:t>31,</w:t>
      </w:r>
      <w:r>
        <w:rPr>
          <w:spacing w:val="-4"/>
          <w:sz w:val="16"/>
        </w:rPr>
        <w:t> </w:t>
      </w:r>
      <w:r>
        <w:rPr>
          <w:sz w:val="16"/>
        </w:rPr>
        <w:t>2022,</w:t>
      </w:r>
      <w:r>
        <w:rPr>
          <w:spacing w:val="-3"/>
          <w:sz w:val="16"/>
        </w:rPr>
        <w:t> </w:t>
      </w:r>
      <w:r>
        <w:rPr>
          <w:sz w:val="16"/>
        </w:rPr>
        <w:t>Mr.</w:t>
      </w:r>
      <w:r>
        <w:rPr>
          <w:spacing w:val="-3"/>
          <w:sz w:val="16"/>
        </w:rPr>
        <w:t> </w:t>
      </w:r>
      <w:r>
        <w:rPr>
          <w:sz w:val="16"/>
        </w:rPr>
        <w:t>Maynard</w:t>
      </w:r>
      <w:r>
        <w:rPr>
          <w:spacing w:val="-4"/>
          <w:sz w:val="16"/>
        </w:rPr>
        <w:t> </w:t>
      </w:r>
      <w:r>
        <w:rPr>
          <w:sz w:val="16"/>
        </w:rPr>
        <w:t>will</w:t>
      </w:r>
      <w:r>
        <w:rPr>
          <w:spacing w:val="-3"/>
          <w:sz w:val="16"/>
        </w:rPr>
        <w:t> </w:t>
      </w:r>
      <w:r>
        <w:rPr>
          <w:sz w:val="16"/>
        </w:rPr>
        <w:t>forfeit</w:t>
      </w:r>
      <w:r>
        <w:rPr>
          <w:spacing w:val="-3"/>
          <w:sz w:val="16"/>
        </w:rPr>
        <w:t> </w:t>
      </w:r>
      <w:r>
        <w:rPr>
          <w:sz w:val="16"/>
        </w:rPr>
        <w:t>4,142</w:t>
      </w:r>
      <w:r>
        <w:rPr>
          <w:spacing w:val="-5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unvested</w:t>
      </w:r>
      <w:r>
        <w:rPr>
          <w:spacing w:val="-4"/>
          <w:sz w:val="16"/>
        </w:rPr>
        <w:t> </w:t>
      </w:r>
      <w:r>
        <w:rPr>
          <w:sz w:val="16"/>
        </w:rPr>
        <w:t>Restricted</w:t>
      </w:r>
      <w:r>
        <w:rPr>
          <w:spacing w:val="-4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1"/>
          <w:sz w:val="16"/>
        </w:rPr>
        <w:t> </w:t>
      </w:r>
      <w:r>
        <w:rPr>
          <w:sz w:val="16"/>
        </w:rPr>
        <w:t>as</w:t>
      </w:r>
      <w:r>
        <w:rPr>
          <w:spacing w:val="-1"/>
          <w:sz w:val="16"/>
        </w:rPr>
        <w:t> </w:t>
      </w:r>
      <w:r>
        <w:rPr>
          <w:sz w:val="16"/>
        </w:rPr>
        <w:t>listed</w:t>
      </w:r>
      <w:r>
        <w:rPr>
          <w:spacing w:val="-1"/>
          <w:sz w:val="16"/>
        </w:rPr>
        <w:t> </w:t>
      </w:r>
      <w:r>
        <w:rPr>
          <w:sz w:val="16"/>
        </w:rPr>
        <w:t>under "All Other Stock</w:t>
      </w:r>
      <w:r>
        <w:rPr>
          <w:spacing w:val="-9"/>
          <w:sz w:val="16"/>
        </w:rPr>
        <w:t> </w:t>
      </w:r>
      <w:r>
        <w:rPr>
          <w:sz w:val="16"/>
        </w:rPr>
        <w:t>Awards".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240" w:h="15840"/>
          <w:pgMar w:header="0" w:footer="517" w:top="860" w:bottom="280" w:left="740" w:right="700"/>
        </w:sectPr>
      </w:pPr>
    </w:p>
    <w:p>
      <w:pPr>
        <w:pStyle w:val="Heading2"/>
        <w:spacing w:before="64"/>
      </w:pPr>
      <w:bookmarkStart w:name="Outstanding Equity Awards at Fiscal Year" w:id="64"/>
      <w:bookmarkEnd w:id="64"/>
      <w:r>
        <w:rPr>
          <w:b w:val="0"/>
        </w:rPr>
      </w:r>
      <w:bookmarkStart w:name="_bookmark28" w:id="65"/>
      <w:bookmarkEnd w:id="65"/>
      <w:r>
        <w:rPr>
          <w:b w:val="0"/>
        </w:rPr>
      </w:r>
      <w:r>
        <w:rPr>
          <w:color w:val="00539E"/>
        </w:rPr>
        <w:t>Outstanding</w:t>
      </w:r>
      <w:r>
        <w:rPr>
          <w:color w:val="00539E"/>
          <w:spacing w:val="-3"/>
        </w:rPr>
        <w:t> </w:t>
      </w:r>
      <w:r>
        <w:rPr>
          <w:color w:val="00539E"/>
        </w:rPr>
        <w:t>Equity</w:t>
      </w:r>
      <w:r>
        <w:rPr>
          <w:color w:val="00539E"/>
          <w:spacing w:val="-2"/>
        </w:rPr>
        <w:t> </w:t>
      </w:r>
      <w:r>
        <w:rPr>
          <w:color w:val="00539E"/>
        </w:rPr>
        <w:t>Awards</w:t>
      </w:r>
      <w:r>
        <w:rPr>
          <w:color w:val="00539E"/>
          <w:spacing w:val="-3"/>
        </w:rPr>
        <w:t> </w:t>
      </w:r>
      <w:r>
        <w:rPr>
          <w:color w:val="00539E"/>
        </w:rPr>
        <w:t>at</w:t>
      </w:r>
      <w:r>
        <w:rPr>
          <w:color w:val="00539E"/>
          <w:spacing w:val="-2"/>
        </w:rPr>
        <w:t> </w:t>
      </w:r>
      <w:r>
        <w:rPr>
          <w:color w:val="00539E"/>
        </w:rPr>
        <w:t>Fiscal</w:t>
      </w:r>
      <w:r>
        <w:rPr>
          <w:color w:val="00539E"/>
          <w:spacing w:val="-2"/>
        </w:rPr>
        <w:t> </w:t>
      </w:r>
      <w:r>
        <w:rPr>
          <w:color w:val="00539E"/>
        </w:rPr>
        <w:t>Year-End</w:t>
      </w:r>
    </w:p>
    <w:p>
      <w:pPr>
        <w:pStyle w:val="BodyText"/>
        <w:spacing w:line="249" w:lineRule="auto" w:before="221"/>
        <w:ind w:left="250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table</w:t>
      </w:r>
      <w:r>
        <w:rPr>
          <w:spacing w:val="-5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certain</w:t>
      </w:r>
      <w:r>
        <w:rPr>
          <w:spacing w:val="-5"/>
        </w:rPr>
        <w:t> </w:t>
      </w:r>
      <w:r>
        <w:rPr/>
        <w:t>information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respect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value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all</w:t>
      </w:r>
      <w:r>
        <w:rPr>
          <w:spacing w:val="-4"/>
        </w:rPr>
        <w:t> </w:t>
      </w:r>
      <w:r>
        <w:rPr/>
        <w:t>non-vested</w:t>
      </w:r>
      <w:r>
        <w:rPr>
          <w:spacing w:val="-5"/>
        </w:rPr>
        <w:t> </w:t>
      </w:r>
      <w:r>
        <w:rPr/>
        <w:t>restricted</w:t>
      </w:r>
      <w:r>
        <w:rPr>
          <w:spacing w:val="-5"/>
        </w:rPr>
        <w:t> </w:t>
      </w:r>
      <w:r>
        <w:rPr/>
        <w:t>stock</w:t>
      </w:r>
      <w:r>
        <w:rPr>
          <w:spacing w:val="-4"/>
        </w:rPr>
        <w:t> </w:t>
      </w:r>
      <w:r>
        <w:rPr/>
        <w:t>awards</w:t>
      </w:r>
      <w:r>
        <w:rPr>
          <w:spacing w:val="1"/>
        </w:rPr>
        <w:t> </w:t>
      </w:r>
      <w:r>
        <w:rPr/>
        <w:t>previously</w:t>
      </w:r>
      <w:r>
        <w:rPr>
          <w:spacing w:val="-4"/>
        </w:rPr>
        <w:t> </w:t>
      </w:r>
      <w:r>
        <w:rPr/>
        <w:t>awarded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NEOs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December</w:t>
      </w:r>
      <w:r>
        <w:rPr>
          <w:spacing w:val="-3"/>
        </w:rPr>
        <w:t> </w:t>
      </w:r>
      <w:r>
        <w:rPr/>
        <w:t>31,</w:t>
      </w:r>
      <w:r>
        <w:rPr>
          <w:spacing w:val="-3"/>
        </w:rPr>
        <w:t> </w:t>
      </w:r>
      <w:r>
        <w:rPr/>
        <w:t>2021.</w:t>
      </w:r>
      <w:r>
        <w:rPr>
          <w:spacing w:val="46"/>
        </w:rPr>
        <w:t> </w:t>
      </w:r>
      <w:r>
        <w:rPr/>
        <w:t>The</w:t>
      </w:r>
      <w:r>
        <w:rPr>
          <w:spacing w:val="-3"/>
        </w:rPr>
        <w:t> </w:t>
      </w:r>
      <w:r>
        <w:rPr/>
        <w:t>NEOs</w:t>
      </w:r>
      <w:r>
        <w:rPr>
          <w:spacing w:val="-4"/>
        </w:rPr>
        <w:t> </w:t>
      </w:r>
      <w:r>
        <w:rPr/>
        <w:t>have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awarded</w:t>
      </w:r>
      <w:r>
        <w:rPr>
          <w:spacing w:val="-4"/>
        </w:rPr>
        <w:t> </w:t>
      </w:r>
      <w:r>
        <w:rPr/>
        <w:t>stock</w:t>
      </w:r>
      <w:r>
        <w:rPr>
          <w:spacing w:val="-3"/>
        </w:rPr>
        <w:t> </w:t>
      </w:r>
      <w:r>
        <w:rPr/>
        <w:t>options.</w:t>
      </w:r>
    </w:p>
    <w:p>
      <w:pPr>
        <w:spacing w:before="170" w:after="30"/>
        <w:ind w:left="2674" w:right="584" w:firstLine="0"/>
        <w:jc w:val="center"/>
        <w:rPr>
          <w:b/>
          <w:sz w:val="16"/>
        </w:rPr>
      </w:pPr>
      <w:r>
        <w:rPr>
          <w:b/>
          <w:sz w:val="16"/>
        </w:rPr>
        <w:t>Stock Awards</w:t>
      </w:r>
      <w:r>
        <w:rPr>
          <w:b/>
          <w:spacing w:val="-17"/>
          <w:sz w:val="16"/>
        </w:rPr>
        <w:t> </w:t>
      </w:r>
      <w:r>
        <w:rPr>
          <w:b/>
          <w:sz w:val="16"/>
          <w:vertAlign w:val="superscript"/>
        </w:rPr>
        <w:t>(1)</w:t>
      </w: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20"/>
        <w:gridCol w:w="1657"/>
        <w:gridCol w:w="1697"/>
        <w:gridCol w:w="1816"/>
        <w:gridCol w:w="2178"/>
      </w:tblGrid>
      <w:tr>
        <w:trPr>
          <w:trHeight w:val="335" w:hRule="atLeast"/>
        </w:trPr>
        <w:tc>
          <w:tcPr>
            <w:tcW w:w="5874" w:type="dxa"/>
            <w:gridSpan w:val="3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816" w:type="dxa"/>
            <w:tcBorders>
              <w:top w:val="single" w:sz="8" w:space="0" w:color="00539E"/>
            </w:tcBorders>
          </w:tcPr>
          <w:p>
            <w:pPr>
              <w:pStyle w:val="TableParagraph"/>
              <w:spacing w:line="155" w:lineRule="exact" w:before="161"/>
              <w:ind w:left="3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Equity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Incentive</w:t>
            </w:r>
          </w:p>
        </w:tc>
        <w:tc>
          <w:tcPr>
            <w:tcW w:w="2178" w:type="dxa"/>
            <w:tcBorders>
              <w:top w:val="single" w:sz="8" w:space="0" w:color="00539E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160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line="140" w:lineRule="exact" w:before="0"/>
              <w:ind w:left="11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Number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Shares</w:t>
            </w:r>
          </w:p>
        </w:tc>
        <w:tc>
          <w:tcPr>
            <w:tcW w:w="1697" w:type="dxa"/>
          </w:tcPr>
          <w:p>
            <w:pPr>
              <w:pStyle w:val="TableParagraph"/>
              <w:spacing w:line="140" w:lineRule="exact" w:before="0"/>
              <w:ind w:left="555" w:right="58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Market</w:t>
            </w:r>
          </w:p>
        </w:tc>
        <w:tc>
          <w:tcPr>
            <w:tcW w:w="1816" w:type="dxa"/>
          </w:tcPr>
          <w:p>
            <w:pPr>
              <w:pStyle w:val="TableParagraph"/>
              <w:spacing w:line="140" w:lineRule="exact" w:before="0"/>
              <w:ind w:left="39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Plan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Awards:</w:t>
            </w:r>
          </w:p>
        </w:tc>
        <w:tc>
          <w:tcPr>
            <w:tcW w:w="2178" w:type="dxa"/>
          </w:tcPr>
          <w:p>
            <w:pPr>
              <w:pStyle w:val="TableParagraph"/>
              <w:spacing w:line="140" w:lineRule="exact" w:before="0"/>
              <w:ind w:left="304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Equity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Incentive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Plan</w:t>
            </w:r>
          </w:p>
        </w:tc>
      </w:tr>
      <w:tr>
        <w:trPr>
          <w:trHeight w:val="160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line="140" w:lineRule="exact" w:before="0"/>
              <w:ind w:left="16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Units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Stock</w:t>
            </w:r>
          </w:p>
        </w:tc>
        <w:tc>
          <w:tcPr>
            <w:tcW w:w="1697" w:type="dxa"/>
          </w:tcPr>
          <w:p>
            <w:pPr>
              <w:pStyle w:val="TableParagraph"/>
              <w:spacing w:line="140" w:lineRule="exact" w:before="0"/>
              <w:ind w:right="159"/>
              <w:rPr>
                <w:b/>
                <w:sz w:val="16"/>
              </w:rPr>
            </w:pPr>
            <w:r>
              <w:rPr>
                <w:b/>
                <w:sz w:val="16"/>
              </w:rPr>
              <w:t>Value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Shares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</w:p>
        </w:tc>
        <w:tc>
          <w:tcPr>
            <w:tcW w:w="1816" w:type="dxa"/>
          </w:tcPr>
          <w:p>
            <w:pPr>
              <w:pStyle w:val="TableParagraph"/>
              <w:spacing w:line="140" w:lineRule="exact" w:before="0"/>
              <w:ind w:left="10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Number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Unearned</w:t>
            </w:r>
          </w:p>
        </w:tc>
        <w:tc>
          <w:tcPr>
            <w:tcW w:w="2178" w:type="dxa"/>
          </w:tcPr>
          <w:p>
            <w:pPr>
              <w:pStyle w:val="TableParagraph"/>
              <w:spacing w:line="140" w:lineRule="exact" w:before="0"/>
              <w:ind w:right="59"/>
              <w:rPr>
                <w:b/>
                <w:sz w:val="16"/>
              </w:rPr>
            </w:pPr>
            <w:r>
              <w:rPr>
                <w:b/>
                <w:sz w:val="16"/>
              </w:rPr>
              <w:t>Awards:</w:t>
            </w:r>
            <w:r>
              <w:rPr>
                <w:b/>
                <w:spacing w:val="39"/>
                <w:sz w:val="16"/>
              </w:rPr>
              <w:t> </w:t>
            </w:r>
            <w:r>
              <w:rPr>
                <w:b/>
                <w:sz w:val="16"/>
              </w:rPr>
              <w:t>Market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Payout</w:t>
            </w:r>
          </w:p>
        </w:tc>
      </w:tr>
      <w:tr>
        <w:trPr>
          <w:trHeight w:val="160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line="140" w:lineRule="exact" w:before="0"/>
              <w:ind w:left="26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That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Have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Not</w:t>
            </w:r>
          </w:p>
        </w:tc>
        <w:tc>
          <w:tcPr>
            <w:tcW w:w="1697" w:type="dxa"/>
          </w:tcPr>
          <w:p>
            <w:pPr>
              <w:pStyle w:val="TableParagraph"/>
              <w:spacing w:line="140" w:lineRule="exact" w:before="0"/>
              <w:ind w:right="133"/>
              <w:rPr>
                <w:b/>
                <w:sz w:val="16"/>
              </w:rPr>
            </w:pPr>
            <w:r>
              <w:rPr>
                <w:b/>
                <w:sz w:val="16"/>
              </w:rPr>
              <w:t>Units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Stock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That</w:t>
            </w:r>
          </w:p>
        </w:tc>
        <w:tc>
          <w:tcPr>
            <w:tcW w:w="1816" w:type="dxa"/>
          </w:tcPr>
          <w:p>
            <w:pPr>
              <w:pStyle w:val="TableParagraph"/>
              <w:spacing w:line="140" w:lineRule="exact" w:before="0"/>
              <w:ind w:left="285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Shares,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Units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</w:p>
        </w:tc>
        <w:tc>
          <w:tcPr>
            <w:tcW w:w="2178" w:type="dxa"/>
          </w:tcPr>
          <w:p>
            <w:pPr>
              <w:pStyle w:val="TableParagraph"/>
              <w:spacing w:line="140" w:lineRule="exact" w:before="0"/>
              <w:ind w:right="55"/>
              <w:rPr>
                <w:b/>
                <w:sz w:val="16"/>
              </w:rPr>
            </w:pPr>
            <w:r>
              <w:rPr>
                <w:b/>
                <w:sz w:val="16"/>
              </w:rPr>
              <w:t>Value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of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Unearned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Shares,</w:t>
            </w:r>
          </w:p>
        </w:tc>
      </w:tr>
      <w:tr>
        <w:trPr>
          <w:trHeight w:val="160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line="140" w:lineRule="exact" w:before="0"/>
              <w:ind w:left="5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Vested</w:t>
            </w:r>
          </w:p>
        </w:tc>
        <w:tc>
          <w:tcPr>
            <w:tcW w:w="1697" w:type="dxa"/>
          </w:tcPr>
          <w:p>
            <w:pPr>
              <w:pStyle w:val="TableParagraph"/>
              <w:spacing w:line="140" w:lineRule="exact" w:before="0"/>
              <w:ind w:left="20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Have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Not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Vested</w:t>
            </w:r>
          </w:p>
        </w:tc>
        <w:tc>
          <w:tcPr>
            <w:tcW w:w="1816" w:type="dxa"/>
          </w:tcPr>
          <w:p>
            <w:pPr>
              <w:pStyle w:val="TableParagraph"/>
              <w:spacing w:line="140" w:lineRule="exact" w:before="0"/>
              <w:ind w:left="223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Other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Rights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That</w:t>
            </w:r>
          </w:p>
        </w:tc>
        <w:tc>
          <w:tcPr>
            <w:tcW w:w="2178" w:type="dxa"/>
          </w:tcPr>
          <w:p>
            <w:pPr>
              <w:pStyle w:val="TableParagraph"/>
              <w:spacing w:line="140" w:lineRule="exact" w:before="0"/>
              <w:ind w:right="68"/>
              <w:rPr>
                <w:b/>
                <w:sz w:val="16"/>
              </w:rPr>
            </w:pPr>
            <w:r>
              <w:rPr>
                <w:b/>
                <w:sz w:val="16"/>
              </w:rPr>
              <w:t>Units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or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Other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Rights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That</w:t>
            </w:r>
          </w:p>
        </w:tc>
      </w:tr>
      <w:tr>
        <w:trPr>
          <w:trHeight w:val="189" w:hRule="atLeast"/>
        </w:trPr>
        <w:tc>
          <w:tcPr>
            <w:tcW w:w="2520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69" w:lineRule="exact" w:before="0"/>
              <w:ind w:left="52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Name</w:t>
            </w:r>
          </w:p>
        </w:tc>
        <w:tc>
          <w:tcPr>
            <w:tcW w:w="1657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69" w:lineRule="exact" w:before="0"/>
              <w:ind w:left="685" w:right="7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(#)</w:t>
            </w:r>
          </w:p>
        </w:tc>
        <w:tc>
          <w:tcPr>
            <w:tcW w:w="1697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69" w:lineRule="exact" w:before="0"/>
              <w:ind w:left="555" w:right="58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($)</w:t>
            </w:r>
          </w:p>
        </w:tc>
        <w:tc>
          <w:tcPr>
            <w:tcW w:w="1816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69" w:lineRule="exact" w:before="0"/>
              <w:ind w:left="148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Have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Not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Vested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(#)</w:t>
            </w:r>
          </w:p>
        </w:tc>
        <w:tc>
          <w:tcPr>
            <w:tcW w:w="2178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169" w:lineRule="exact" w:before="0"/>
              <w:ind w:left="357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Have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Not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Vested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($)</w:t>
            </w:r>
          </w:p>
        </w:tc>
      </w:tr>
      <w:tr>
        <w:trPr>
          <w:trHeight w:val="220" w:hRule="atLeast"/>
        </w:trPr>
        <w:tc>
          <w:tcPr>
            <w:tcW w:w="2520" w:type="dxa"/>
            <w:tcBorders>
              <w:top w:val="single" w:sz="8" w:space="0" w:color="00539E"/>
            </w:tcBorders>
          </w:tcPr>
          <w:p>
            <w:pPr>
              <w:pStyle w:val="TableParagraph"/>
              <w:spacing w:before="1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1657" w:type="dxa"/>
            <w:tcBorders>
              <w:top w:val="single" w:sz="8" w:space="0" w:color="00539E"/>
            </w:tcBorders>
          </w:tcPr>
          <w:p>
            <w:pPr>
              <w:pStyle w:val="TableParagraph"/>
              <w:spacing w:before="1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5,500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1697" w:type="dxa"/>
            <w:tcBorders>
              <w:top w:val="single" w:sz="8" w:space="0" w:color="00539E"/>
            </w:tcBorders>
          </w:tcPr>
          <w:p>
            <w:pPr>
              <w:pStyle w:val="TableParagraph"/>
              <w:spacing w:before="16"/>
              <w:ind w:right="104"/>
              <w:rPr>
                <w:sz w:val="16"/>
              </w:rPr>
            </w:pPr>
            <w:r>
              <w:rPr>
                <w:sz w:val="16"/>
              </w:rPr>
              <w:t>$482,130</w:t>
            </w:r>
          </w:p>
        </w:tc>
        <w:tc>
          <w:tcPr>
            <w:tcW w:w="1816" w:type="dxa"/>
            <w:tcBorders>
              <w:top w:val="single" w:sz="8" w:space="0" w:color="00539E"/>
            </w:tcBorders>
          </w:tcPr>
          <w:p>
            <w:pPr>
              <w:pStyle w:val="TableParagraph"/>
              <w:spacing w:before="16"/>
              <w:ind w:right="9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5,500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2178" w:type="dxa"/>
            <w:tcBorders>
              <w:top w:val="single" w:sz="8" w:space="0" w:color="00539E"/>
            </w:tcBorders>
          </w:tcPr>
          <w:p>
            <w:pPr>
              <w:pStyle w:val="TableParagraph"/>
              <w:spacing w:before="16"/>
              <w:ind w:right="48"/>
              <w:rPr>
                <w:sz w:val="16"/>
              </w:rPr>
            </w:pPr>
            <w:r>
              <w:rPr>
                <w:sz w:val="16"/>
              </w:rPr>
              <w:t>$482,130</w:t>
            </w:r>
          </w:p>
        </w:tc>
      </w:tr>
      <w:tr>
        <w:trPr>
          <w:trHeight w:val="240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8,253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(3)</w:t>
            </w:r>
          </w:p>
        </w:tc>
        <w:tc>
          <w:tcPr>
            <w:tcW w:w="1697" w:type="dxa"/>
          </w:tcPr>
          <w:p>
            <w:pPr>
              <w:pStyle w:val="TableParagraph"/>
              <w:spacing w:before="36"/>
              <w:ind w:right="104"/>
              <w:rPr>
                <w:sz w:val="16"/>
              </w:rPr>
            </w:pPr>
            <w:r>
              <w:rPr>
                <w:sz w:val="16"/>
              </w:rPr>
              <w:t>$723,458</w:t>
            </w:r>
          </w:p>
        </w:tc>
        <w:tc>
          <w:tcPr>
            <w:tcW w:w="1816" w:type="dxa"/>
          </w:tcPr>
          <w:p>
            <w:pPr>
              <w:pStyle w:val="TableParagraph"/>
              <w:spacing w:before="36"/>
              <w:ind w:right="90"/>
              <w:rPr>
                <w:sz w:val="16"/>
              </w:rPr>
            </w:pPr>
            <w:r>
              <w:rPr>
                <w:sz w:val="16"/>
              </w:rPr>
              <w:t>8,253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  <w:vertAlign w:val="superscript"/>
              </w:rPr>
              <w:t>(4)</w:t>
            </w:r>
          </w:p>
        </w:tc>
        <w:tc>
          <w:tcPr>
            <w:tcW w:w="2178" w:type="dxa"/>
          </w:tcPr>
          <w:p>
            <w:pPr>
              <w:pStyle w:val="TableParagraph"/>
              <w:spacing w:before="36"/>
              <w:ind w:right="48"/>
              <w:rPr>
                <w:sz w:val="16"/>
              </w:rPr>
            </w:pPr>
            <w:r>
              <w:rPr>
                <w:sz w:val="16"/>
              </w:rPr>
              <w:t>$723,458</w:t>
            </w:r>
          </w:p>
        </w:tc>
      </w:tr>
      <w:tr>
        <w:trPr>
          <w:trHeight w:val="239" w:hRule="atLeast"/>
        </w:trPr>
        <w:tc>
          <w:tcPr>
            <w:tcW w:w="2520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z w:val="16"/>
              </w:rPr>
              <w:t>14,258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  <w:vertAlign w:val="superscript"/>
              </w:rPr>
              <w:t>(5)</w:t>
            </w:r>
          </w:p>
        </w:tc>
        <w:tc>
          <w:tcPr>
            <w:tcW w:w="1697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104"/>
              <w:rPr>
                <w:sz w:val="16"/>
              </w:rPr>
            </w:pPr>
            <w:r>
              <w:rPr>
                <w:sz w:val="16"/>
              </w:rPr>
              <w:t>$1,249,856</w:t>
            </w:r>
          </w:p>
        </w:tc>
        <w:tc>
          <w:tcPr>
            <w:tcW w:w="1816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90"/>
              <w:rPr>
                <w:sz w:val="16"/>
              </w:rPr>
            </w:pPr>
            <w:r>
              <w:rPr>
                <w:sz w:val="16"/>
              </w:rPr>
              <w:t>14,258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  <w:vertAlign w:val="superscript"/>
              </w:rPr>
              <w:t>(6)</w:t>
            </w:r>
          </w:p>
        </w:tc>
        <w:tc>
          <w:tcPr>
            <w:tcW w:w="2178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169" w:lineRule="exact" w:before="51"/>
              <w:ind w:right="48"/>
              <w:rPr>
                <w:sz w:val="16"/>
              </w:rPr>
            </w:pPr>
            <w:r>
              <w:rPr>
                <w:sz w:val="16"/>
              </w:rPr>
              <w:t>$1,249,856</w:t>
            </w:r>
          </w:p>
        </w:tc>
      </w:tr>
      <w:tr>
        <w:trPr>
          <w:trHeight w:val="280" w:hRule="atLeast"/>
        </w:trPr>
        <w:tc>
          <w:tcPr>
            <w:tcW w:w="2520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1657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4,533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1697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$397,363</w:t>
            </w:r>
          </w:p>
        </w:tc>
        <w:tc>
          <w:tcPr>
            <w:tcW w:w="1816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4,534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2178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48"/>
              <w:rPr>
                <w:sz w:val="16"/>
              </w:rPr>
            </w:pPr>
            <w:r>
              <w:rPr>
                <w:sz w:val="16"/>
              </w:rPr>
              <w:t>$397,450</w:t>
            </w:r>
          </w:p>
        </w:tc>
      </w:tr>
      <w:tr>
        <w:trPr>
          <w:trHeight w:val="240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6,521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(3)</w:t>
            </w:r>
          </w:p>
        </w:tc>
        <w:tc>
          <w:tcPr>
            <w:tcW w:w="1697" w:type="dxa"/>
          </w:tcPr>
          <w:p>
            <w:pPr>
              <w:pStyle w:val="TableParagraph"/>
              <w:spacing w:before="36"/>
              <w:ind w:right="104"/>
              <w:rPr>
                <w:sz w:val="16"/>
              </w:rPr>
            </w:pPr>
            <w:r>
              <w:rPr>
                <w:sz w:val="16"/>
              </w:rPr>
              <w:t>$571,631</w:t>
            </w:r>
          </w:p>
        </w:tc>
        <w:tc>
          <w:tcPr>
            <w:tcW w:w="1816" w:type="dxa"/>
          </w:tcPr>
          <w:p>
            <w:pPr>
              <w:pStyle w:val="TableParagraph"/>
              <w:spacing w:before="36"/>
              <w:ind w:right="9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6,522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(4)</w:t>
            </w:r>
          </w:p>
        </w:tc>
        <w:tc>
          <w:tcPr>
            <w:tcW w:w="2178" w:type="dxa"/>
          </w:tcPr>
          <w:p>
            <w:pPr>
              <w:pStyle w:val="TableParagraph"/>
              <w:spacing w:before="36"/>
              <w:ind w:right="48"/>
              <w:rPr>
                <w:sz w:val="16"/>
              </w:rPr>
            </w:pPr>
            <w:r>
              <w:rPr>
                <w:sz w:val="16"/>
              </w:rPr>
              <w:t>$571,719</w:t>
            </w:r>
          </w:p>
        </w:tc>
      </w:tr>
      <w:tr>
        <w:trPr>
          <w:trHeight w:val="239" w:hRule="atLeast"/>
        </w:trPr>
        <w:tc>
          <w:tcPr>
            <w:tcW w:w="2520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z w:val="16"/>
              </w:rPr>
              <w:t>11,266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  <w:vertAlign w:val="superscript"/>
              </w:rPr>
              <w:t>(5)</w:t>
            </w:r>
          </w:p>
        </w:tc>
        <w:tc>
          <w:tcPr>
            <w:tcW w:w="1697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104"/>
              <w:rPr>
                <w:sz w:val="16"/>
              </w:rPr>
            </w:pPr>
            <w:r>
              <w:rPr>
                <w:sz w:val="16"/>
              </w:rPr>
              <w:t>$987,578</w:t>
            </w:r>
          </w:p>
        </w:tc>
        <w:tc>
          <w:tcPr>
            <w:tcW w:w="1816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169" w:lineRule="exact" w:before="51"/>
              <w:ind w:right="90"/>
              <w:rPr>
                <w:sz w:val="16"/>
              </w:rPr>
            </w:pPr>
            <w:r>
              <w:rPr>
                <w:sz w:val="16"/>
              </w:rPr>
              <w:t>11,266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  <w:vertAlign w:val="superscript"/>
              </w:rPr>
              <w:t>(6)</w:t>
            </w:r>
          </w:p>
        </w:tc>
        <w:tc>
          <w:tcPr>
            <w:tcW w:w="2178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48"/>
              <w:rPr>
                <w:sz w:val="16"/>
              </w:rPr>
            </w:pPr>
            <w:r>
              <w:rPr>
                <w:sz w:val="16"/>
              </w:rPr>
              <w:t>$987,578</w:t>
            </w:r>
          </w:p>
        </w:tc>
      </w:tr>
      <w:tr>
        <w:trPr>
          <w:trHeight w:val="280" w:hRule="atLeast"/>
        </w:trPr>
        <w:tc>
          <w:tcPr>
            <w:tcW w:w="2520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1657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4,533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1697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$397,363</w:t>
            </w:r>
          </w:p>
        </w:tc>
        <w:tc>
          <w:tcPr>
            <w:tcW w:w="1816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4,534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2178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48"/>
              <w:rPr>
                <w:sz w:val="16"/>
              </w:rPr>
            </w:pPr>
            <w:r>
              <w:rPr>
                <w:sz w:val="16"/>
              </w:rPr>
              <w:t>$397,450</w:t>
            </w:r>
          </w:p>
        </w:tc>
      </w:tr>
      <w:tr>
        <w:trPr>
          <w:trHeight w:val="240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6,521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(3)</w:t>
            </w:r>
          </w:p>
        </w:tc>
        <w:tc>
          <w:tcPr>
            <w:tcW w:w="1697" w:type="dxa"/>
          </w:tcPr>
          <w:p>
            <w:pPr>
              <w:pStyle w:val="TableParagraph"/>
              <w:spacing w:before="36"/>
              <w:ind w:right="104"/>
              <w:rPr>
                <w:sz w:val="16"/>
              </w:rPr>
            </w:pPr>
            <w:r>
              <w:rPr>
                <w:sz w:val="16"/>
              </w:rPr>
              <w:t>$571,631</w:t>
            </w:r>
          </w:p>
        </w:tc>
        <w:tc>
          <w:tcPr>
            <w:tcW w:w="1816" w:type="dxa"/>
          </w:tcPr>
          <w:p>
            <w:pPr>
              <w:pStyle w:val="TableParagraph"/>
              <w:spacing w:before="36"/>
              <w:ind w:right="9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6,522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(4)</w:t>
            </w:r>
          </w:p>
        </w:tc>
        <w:tc>
          <w:tcPr>
            <w:tcW w:w="2178" w:type="dxa"/>
          </w:tcPr>
          <w:p>
            <w:pPr>
              <w:pStyle w:val="TableParagraph"/>
              <w:spacing w:before="36"/>
              <w:ind w:right="48"/>
              <w:rPr>
                <w:sz w:val="16"/>
              </w:rPr>
            </w:pPr>
            <w:r>
              <w:rPr>
                <w:sz w:val="16"/>
              </w:rPr>
              <w:t>$571,719</w:t>
            </w:r>
          </w:p>
        </w:tc>
      </w:tr>
      <w:tr>
        <w:trPr>
          <w:trHeight w:val="239" w:hRule="atLeast"/>
        </w:trPr>
        <w:tc>
          <w:tcPr>
            <w:tcW w:w="2520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z w:val="16"/>
              </w:rPr>
              <w:t>11,266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  <w:vertAlign w:val="superscript"/>
              </w:rPr>
              <w:t>(5)</w:t>
            </w:r>
          </w:p>
        </w:tc>
        <w:tc>
          <w:tcPr>
            <w:tcW w:w="1697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104"/>
              <w:rPr>
                <w:sz w:val="16"/>
              </w:rPr>
            </w:pPr>
            <w:r>
              <w:rPr>
                <w:sz w:val="16"/>
              </w:rPr>
              <w:t>$987,578</w:t>
            </w:r>
          </w:p>
        </w:tc>
        <w:tc>
          <w:tcPr>
            <w:tcW w:w="1816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169" w:lineRule="exact" w:before="51"/>
              <w:ind w:right="90"/>
              <w:rPr>
                <w:sz w:val="16"/>
              </w:rPr>
            </w:pPr>
            <w:r>
              <w:rPr>
                <w:sz w:val="16"/>
              </w:rPr>
              <w:t>11,266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  <w:vertAlign w:val="superscript"/>
              </w:rPr>
              <w:t>(6)</w:t>
            </w:r>
          </w:p>
        </w:tc>
        <w:tc>
          <w:tcPr>
            <w:tcW w:w="2178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48"/>
              <w:rPr>
                <w:sz w:val="16"/>
              </w:rPr>
            </w:pPr>
            <w:r>
              <w:rPr>
                <w:sz w:val="16"/>
              </w:rPr>
              <w:t>$987,578</w:t>
            </w:r>
          </w:p>
        </w:tc>
      </w:tr>
      <w:tr>
        <w:trPr>
          <w:trHeight w:val="280" w:hRule="atLeast"/>
        </w:trPr>
        <w:tc>
          <w:tcPr>
            <w:tcW w:w="2520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Roger Maynard </w:t>
            </w:r>
            <w:r>
              <w:rPr>
                <w:sz w:val="16"/>
                <w:vertAlign w:val="superscript"/>
              </w:rPr>
              <w:t>(7)</w:t>
            </w:r>
          </w:p>
        </w:tc>
        <w:tc>
          <w:tcPr>
            <w:tcW w:w="1657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2,500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1697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104"/>
              <w:rPr>
                <w:sz w:val="16"/>
              </w:rPr>
            </w:pPr>
            <w:r>
              <w:rPr>
                <w:sz w:val="16"/>
              </w:rPr>
              <w:t>$219,150</w:t>
            </w:r>
          </w:p>
        </w:tc>
        <w:tc>
          <w:tcPr>
            <w:tcW w:w="1816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9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2,500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2178" w:type="dxa"/>
            <w:tcBorders>
              <w:top w:val="single" w:sz="8" w:space="0" w:color="888A8C"/>
            </w:tcBorders>
          </w:tcPr>
          <w:p>
            <w:pPr>
              <w:pStyle w:val="TableParagraph"/>
              <w:spacing w:before="76"/>
              <w:ind w:right="48"/>
              <w:rPr>
                <w:sz w:val="16"/>
              </w:rPr>
            </w:pPr>
            <w:r>
              <w:rPr>
                <w:sz w:val="16"/>
              </w:rPr>
              <w:t>$219,150</w:t>
            </w:r>
          </w:p>
        </w:tc>
      </w:tr>
      <w:tr>
        <w:trPr>
          <w:trHeight w:val="240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3,596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(3)</w:t>
            </w:r>
          </w:p>
        </w:tc>
        <w:tc>
          <w:tcPr>
            <w:tcW w:w="1697" w:type="dxa"/>
          </w:tcPr>
          <w:p>
            <w:pPr>
              <w:pStyle w:val="TableParagraph"/>
              <w:spacing w:before="36"/>
              <w:ind w:right="104"/>
              <w:rPr>
                <w:sz w:val="16"/>
              </w:rPr>
            </w:pPr>
            <w:r>
              <w:rPr>
                <w:sz w:val="16"/>
              </w:rPr>
              <w:t>$315,225</w:t>
            </w:r>
          </w:p>
        </w:tc>
        <w:tc>
          <w:tcPr>
            <w:tcW w:w="1816" w:type="dxa"/>
          </w:tcPr>
          <w:p>
            <w:pPr>
              <w:pStyle w:val="TableParagraph"/>
              <w:spacing w:before="36"/>
              <w:ind w:right="90"/>
              <w:rPr>
                <w:sz w:val="16"/>
              </w:rPr>
            </w:pPr>
            <w:r>
              <w:rPr>
                <w:sz w:val="16"/>
              </w:rPr>
              <w:t>3,597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  <w:vertAlign w:val="superscript"/>
              </w:rPr>
              <w:t>(4)</w:t>
            </w:r>
          </w:p>
        </w:tc>
        <w:tc>
          <w:tcPr>
            <w:tcW w:w="2178" w:type="dxa"/>
          </w:tcPr>
          <w:p>
            <w:pPr>
              <w:pStyle w:val="TableParagraph"/>
              <w:spacing w:before="36"/>
              <w:ind w:right="48"/>
              <w:rPr>
                <w:sz w:val="16"/>
              </w:rPr>
            </w:pPr>
            <w:r>
              <w:rPr>
                <w:sz w:val="16"/>
              </w:rPr>
              <w:t>$315,313</w:t>
            </w:r>
          </w:p>
        </w:tc>
      </w:tr>
      <w:tr>
        <w:trPr>
          <w:trHeight w:val="239" w:hRule="atLeast"/>
        </w:trPr>
        <w:tc>
          <w:tcPr>
            <w:tcW w:w="2520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6,213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(5)</w:t>
            </w:r>
          </w:p>
        </w:tc>
        <w:tc>
          <w:tcPr>
            <w:tcW w:w="1697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104"/>
              <w:rPr>
                <w:sz w:val="16"/>
              </w:rPr>
            </w:pPr>
            <w:r>
              <w:rPr>
                <w:sz w:val="16"/>
              </w:rPr>
              <w:t>$544,632</w:t>
            </w:r>
          </w:p>
        </w:tc>
        <w:tc>
          <w:tcPr>
            <w:tcW w:w="1816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90"/>
              <w:rPr>
                <w:sz w:val="16"/>
              </w:rPr>
            </w:pPr>
            <w:r>
              <w:rPr>
                <w:sz w:val="16"/>
              </w:rPr>
              <w:t>6,213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  <w:vertAlign w:val="superscript"/>
              </w:rPr>
              <w:t>(6)</w:t>
            </w:r>
          </w:p>
        </w:tc>
        <w:tc>
          <w:tcPr>
            <w:tcW w:w="2178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before="36"/>
              <w:ind w:right="48"/>
              <w:rPr>
                <w:sz w:val="16"/>
              </w:rPr>
            </w:pPr>
            <w:r>
              <w:rPr>
                <w:sz w:val="16"/>
              </w:rPr>
              <w:t>$544,632</w:t>
            </w:r>
          </w:p>
        </w:tc>
      </w:tr>
      <w:tr>
        <w:trPr>
          <w:trHeight w:val="287" w:hRule="atLeast"/>
        </w:trPr>
        <w:tc>
          <w:tcPr>
            <w:tcW w:w="2520" w:type="dxa"/>
            <w:tcBorders>
              <w:top w:val="single" w:sz="8" w:space="0" w:color="888A8C"/>
            </w:tcBorders>
          </w:tcPr>
          <w:p>
            <w:pPr>
              <w:pStyle w:val="TableParagraph"/>
              <w:spacing w:line="176" w:lineRule="exact" w:before="91"/>
              <w:ind w:left="52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Eldersveld</w:t>
            </w:r>
          </w:p>
        </w:tc>
        <w:tc>
          <w:tcPr>
            <w:tcW w:w="1657" w:type="dxa"/>
            <w:tcBorders>
              <w:top w:val="single" w:sz="8" w:space="0" w:color="888A8C"/>
            </w:tcBorders>
          </w:tcPr>
          <w:p>
            <w:pPr>
              <w:pStyle w:val="TableParagraph"/>
              <w:spacing w:line="240" w:lineRule="auto" w:before="7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2,333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1697" w:type="dxa"/>
            <w:tcBorders>
              <w:top w:val="single" w:sz="8" w:space="0" w:color="888A8C"/>
            </w:tcBorders>
          </w:tcPr>
          <w:p>
            <w:pPr>
              <w:pStyle w:val="TableParagraph"/>
              <w:spacing w:line="240" w:lineRule="auto" w:before="76"/>
              <w:ind w:right="104"/>
              <w:rPr>
                <w:sz w:val="16"/>
              </w:rPr>
            </w:pPr>
            <w:r>
              <w:rPr>
                <w:sz w:val="16"/>
              </w:rPr>
              <w:t>$204,511</w:t>
            </w:r>
          </w:p>
        </w:tc>
        <w:tc>
          <w:tcPr>
            <w:tcW w:w="1816" w:type="dxa"/>
            <w:tcBorders>
              <w:top w:val="single" w:sz="8" w:space="0" w:color="888A8C"/>
            </w:tcBorders>
          </w:tcPr>
          <w:p>
            <w:pPr>
              <w:pStyle w:val="TableParagraph"/>
              <w:spacing w:line="240" w:lineRule="auto" w:before="76"/>
              <w:ind w:right="90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2,334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(2)</w:t>
            </w:r>
          </w:p>
        </w:tc>
        <w:tc>
          <w:tcPr>
            <w:tcW w:w="2178" w:type="dxa"/>
            <w:tcBorders>
              <w:top w:val="single" w:sz="8" w:space="0" w:color="888A8C"/>
            </w:tcBorders>
          </w:tcPr>
          <w:p>
            <w:pPr>
              <w:pStyle w:val="TableParagraph"/>
              <w:spacing w:line="240" w:lineRule="auto" w:before="76"/>
              <w:ind w:right="48"/>
              <w:rPr>
                <w:sz w:val="16"/>
              </w:rPr>
            </w:pPr>
            <w:r>
              <w:rPr>
                <w:sz w:val="16"/>
              </w:rPr>
              <w:t>$204,598</w:t>
            </w:r>
          </w:p>
        </w:tc>
      </w:tr>
      <w:tr>
        <w:trPr>
          <w:trHeight w:val="232" w:hRule="atLeast"/>
        </w:trPr>
        <w:tc>
          <w:tcPr>
            <w:tcW w:w="2520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</w:tcPr>
          <w:p>
            <w:pPr>
              <w:pStyle w:val="TableParagraph"/>
              <w:spacing w:before="28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3,982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(3)</w:t>
            </w:r>
          </w:p>
        </w:tc>
        <w:tc>
          <w:tcPr>
            <w:tcW w:w="1697" w:type="dxa"/>
          </w:tcPr>
          <w:p>
            <w:pPr>
              <w:pStyle w:val="TableParagraph"/>
              <w:spacing w:before="28"/>
              <w:ind w:right="104"/>
              <w:rPr>
                <w:sz w:val="16"/>
              </w:rPr>
            </w:pPr>
            <w:r>
              <w:rPr>
                <w:sz w:val="16"/>
              </w:rPr>
              <w:t>$349,062</w:t>
            </w:r>
          </w:p>
        </w:tc>
        <w:tc>
          <w:tcPr>
            <w:tcW w:w="1816" w:type="dxa"/>
          </w:tcPr>
          <w:p>
            <w:pPr>
              <w:pStyle w:val="TableParagraph"/>
              <w:spacing w:before="28"/>
              <w:ind w:right="90"/>
              <w:rPr>
                <w:sz w:val="16"/>
              </w:rPr>
            </w:pPr>
            <w:r>
              <w:rPr>
                <w:sz w:val="16"/>
              </w:rPr>
              <w:t>3,982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  <w:vertAlign w:val="superscript"/>
              </w:rPr>
              <w:t>(4)</w:t>
            </w:r>
          </w:p>
        </w:tc>
        <w:tc>
          <w:tcPr>
            <w:tcW w:w="2178" w:type="dxa"/>
          </w:tcPr>
          <w:p>
            <w:pPr>
              <w:pStyle w:val="TableParagraph"/>
              <w:spacing w:before="28"/>
              <w:ind w:right="48"/>
              <w:rPr>
                <w:sz w:val="16"/>
              </w:rPr>
            </w:pPr>
            <w:r>
              <w:rPr>
                <w:sz w:val="16"/>
              </w:rPr>
              <w:t>$349,062</w:t>
            </w:r>
          </w:p>
        </w:tc>
      </w:tr>
      <w:tr>
        <w:trPr>
          <w:trHeight w:val="239" w:hRule="atLeast"/>
        </w:trPr>
        <w:tc>
          <w:tcPr>
            <w:tcW w:w="2520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57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36"/>
              <w:ind w:right="102"/>
              <w:rPr>
                <w:sz w:val="16"/>
              </w:rPr>
            </w:pPr>
            <w:r>
              <w:rPr>
                <w:spacing w:val="-1"/>
                <w:w w:val="105"/>
                <w:sz w:val="16"/>
              </w:rPr>
              <w:t>6,879</w:t>
            </w:r>
            <w:r>
              <w:rPr>
                <w:spacing w:val="-11"/>
                <w:w w:val="105"/>
                <w:sz w:val="16"/>
              </w:rPr>
              <w:t> </w:t>
            </w:r>
            <w:r>
              <w:rPr>
                <w:w w:val="105"/>
                <w:sz w:val="16"/>
                <w:vertAlign w:val="superscript"/>
              </w:rPr>
              <w:t>(5)</w:t>
            </w:r>
          </w:p>
        </w:tc>
        <w:tc>
          <w:tcPr>
            <w:tcW w:w="1697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36"/>
              <w:ind w:right="104"/>
              <w:rPr>
                <w:sz w:val="16"/>
              </w:rPr>
            </w:pPr>
            <w:r>
              <w:rPr>
                <w:sz w:val="16"/>
              </w:rPr>
              <w:t>$603,013</w:t>
            </w:r>
          </w:p>
        </w:tc>
        <w:tc>
          <w:tcPr>
            <w:tcW w:w="1816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36"/>
              <w:ind w:right="90"/>
              <w:rPr>
                <w:sz w:val="16"/>
              </w:rPr>
            </w:pPr>
            <w:r>
              <w:rPr>
                <w:sz w:val="16"/>
              </w:rPr>
              <w:t>6,879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  <w:vertAlign w:val="superscript"/>
              </w:rPr>
              <w:t>(6)</w:t>
            </w:r>
          </w:p>
        </w:tc>
        <w:tc>
          <w:tcPr>
            <w:tcW w:w="2178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before="36"/>
              <w:ind w:right="48"/>
              <w:rPr>
                <w:sz w:val="16"/>
              </w:rPr>
            </w:pPr>
            <w:r>
              <w:rPr>
                <w:sz w:val="16"/>
              </w:rPr>
              <w:t>$603,013</w:t>
            </w:r>
          </w:p>
        </w:tc>
      </w:tr>
    </w:tbl>
    <w:p>
      <w:pPr>
        <w:pStyle w:val="BodyText"/>
        <w:rPr>
          <w:b/>
          <w:sz w:val="28"/>
        </w:rPr>
      </w:pPr>
    </w:p>
    <w:p>
      <w:pPr>
        <w:pStyle w:val="ListParagraph"/>
        <w:numPr>
          <w:ilvl w:val="0"/>
          <w:numId w:val="20"/>
        </w:numPr>
        <w:tabs>
          <w:tab w:pos="610" w:val="left" w:leader="none"/>
        </w:tabs>
        <w:spacing w:line="249" w:lineRule="auto" w:before="0" w:after="0"/>
        <w:ind w:left="610" w:right="392" w:hanging="360"/>
        <w:jc w:val="left"/>
        <w:rPr>
          <w:sz w:val="16"/>
        </w:rPr>
      </w:pPr>
      <w:r>
        <w:rPr>
          <w:sz w:val="16"/>
        </w:rPr>
        <w:t>The market value of Stock Awards that had not vested as of December 31, 2021 was based on a closing price of the Company’s Common</w:t>
      </w:r>
      <w:r>
        <w:rPr>
          <w:spacing w:val="-42"/>
          <w:sz w:val="16"/>
        </w:rPr>
        <w:t> </w:t>
      </w:r>
      <w:r>
        <w:rPr>
          <w:sz w:val="16"/>
        </w:rPr>
        <w:t>Stock on December 31, 2021, or $87.66. Upon vesting of these stock awards, at the NEO's option, the Company will buy back a portion of</w:t>
      </w:r>
      <w:r>
        <w:rPr>
          <w:spacing w:val="-42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stock to</w:t>
      </w:r>
      <w:r>
        <w:rPr>
          <w:spacing w:val="-2"/>
          <w:sz w:val="16"/>
        </w:rPr>
        <w:t> </w:t>
      </w:r>
      <w:r>
        <w:rPr>
          <w:sz w:val="16"/>
        </w:rPr>
        <w:t>provide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NEO with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ability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receive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vested</w:t>
      </w:r>
      <w:r>
        <w:rPr>
          <w:spacing w:val="-2"/>
          <w:sz w:val="16"/>
        </w:rPr>
        <w:t> </w:t>
      </w:r>
      <w:r>
        <w:rPr>
          <w:sz w:val="16"/>
        </w:rPr>
        <w:t>stock net</w:t>
      </w:r>
      <w:r>
        <w:rPr>
          <w:spacing w:val="-1"/>
          <w:sz w:val="16"/>
        </w:rPr>
        <w:t> </w:t>
      </w:r>
      <w:r>
        <w:rPr>
          <w:sz w:val="16"/>
        </w:rPr>
        <w:t>of applicable</w:t>
      </w:r>
      <w:r>
        <w:rPr>
          <w:spacing w:val="-2"/>
          <w:sz w:val="16"/>
        </w:rPr>
        <w:t> </w:t>
      </w:r>
      <w:r>
        <w:rPr>
          <w:sz w:val="16"/>
        </w:rPr>
        <w:t>tax effects.</w:t>
      </w:r>
    </w:p>
    <w:p>
      <w:pPr>
        <w:pStyle w:val="ListParagraph"/>
        <w:numPr>
          <w:ilvl w:val="0"/>
          <w:numId w:val="20"/>
        </w:numPr>
        <w:tabs>
          <w:tab w:pos="610" w:val="left" w:leader="none"/>
        </w:tabs>
        <w:spacing w:line="240" w:lineRule="auto" w:before="62" w:after="0"/>
        <w:ind w:left="610" w:right="0" w:hanging="360"/>
        <w:jc w:val="left"/>
        <w:rPr>
          <w:sz w:val="16"/>
        </w:rPr>
      </w:pPr>
      <w:r>
        <w:rPr>
          <w:spacing w:val="-1"/>
          <w:sz w:val="16"/>
        </w:rPr>
        <w:t>The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time-based</w:t>
      </w:r>
      <w:r>
        <w:rPr>
          <w:spacing w:val="-4"/>
          <w:sz w:val="16"/>
        </w:rPr>
        <w:t> </w:t>
      </w:r>
      <w:r>
        <w:rPr>
          <w:sz w:val="16"/>
        </w:rPr>
        <w:t>portion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performance-based</w:t>
      </w:r>
      <w:r>
        <w:rPr>
          <w:spacing w:val="-3"/>
          <w:sz w:val="16"/>
        </w:rPr>
        <w:t> </w:t>
      </w:r>
      <w:r>
        <w:rPr>
          <w:sz w:val="16"/>
        </w:rPr>
        <w:t>portion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these</w:t>
      </w:r>
      <w:r>
        <w:rPr>
          <w:spacing w:val="-4"/>
          <w:sz w:val="16"/>
        </w:rPr>
        <w:t> </w:t>
      </w:r>
      <w:r>
        <w:rPr>
          <w:sz w:val="16"/>
        </w:rPr>
        <w:t>2019</w:t>
      </w:r>
      <w:r>
        <w:rPr>
          <w:spacing w:val="-11"/>
          <w:sz w:val="16"/>
        </w:rPr>
        <w:t> </w:t>
      </w:r>
      <w:r>
        <w:rPr>
          <w:sz w:val="16"/>
        </w:rPr>
        <w:t>Awards</w:t>
      </w:r>
      <w:r>
        <w:rPr>
          <w:spacing w:val="-2"/>
          <w:sz w:val="16"/>
        </w:rPr>
        <w:t> </w:t>
      </w:r>
      <w:r>
        <w:rPr>
          <w:sz w:val="16"/>
        </w:rPr>
        <w:t>vested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January</w:t>
      </w:r>
      <w:r>
        <w:rPr>
          <w:spacing w:val="-3"/>
          <w:sz w:val="16"/>
        </w:rPr>
        <w:t> </w:t>
      </w:r>
      <w:r>
        <w:rPr>
          <w:sz w:val="16"/>
        </w:rPr>
        <w:t>31,</w:t>
      </w:r>
      <w:r>
        <w:rPr>
          <w:spacing w:val="-2"/>
          <w:sz w:val="16"/>
        </w:rPr>
        <w:t> </w:t>
      </w:r>
      <w:r>
        <w:rPr>
          <w:sz w:val="16"/>
        </w:rPr>
        <w:t>2022.</w:t>
      </w:r>
    </w:p>
    <w:p>
      <w:pPr>
        <w:pStyle w:val="ListParagraph"/>
        <w:numPr>
          <w:ilvl w:val="0"/>
          <w:numId w:val="20"/>
        </w:numPr>
        <w:tabs>
          <w:tab w:pos="610" w:val="left" w:leader="none"/>
        </w:tabs>
        <w:spacing w:line="249" w:lineRule="auto" w:before="68" w:after="0"/>
        <w:ind w:left="610" w:right="516" w:hanging="360"/>
        <w:jc w:val="left"/>
        <w:rPr>
          <w:sz w:val="16"/>
        </w:rPr>
      </w:pPr>
      <w:r>
        <w:rPr>
          <w:spacing w:val="-1"/>
          <w:sz w:val="16"/>
        </w:rPr>
        <w:t>The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time-based</w:t>
      </w:r>
      <w:r>
        <w:rPr>
          <w:spacing w:val="-3"/>
          <w:sz w:val="16"/>
        </w:rPr>
        <w:t> </w:t>
      </w:r>
      <w:r>
        <w:rPr>
          <w:sz w:val="16"/>
        </w:rPr>
        <w:t>portion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these</w:t>
      </w:r>
      <w:r>
        <w:rPr>
          <w:spacing w:val="-3"/>
          <w:sz w:val="16"/>
        </w:rPr>
        <w:t> </w:t>
      </w:r>
      <w:r>
        <w:rPr>
          <w:sz w:val="16"/>
        </w:rPr>
        <w:t>2020</w:t>
      </w:r>
      <w:r>
        <w:rPr>
          <w:spacing w:val="-11"/>
          <w:sz w:val="16"/>
        </w:rPr>
        <w:t> </w:t>
      </w:r>
      <w:r>
        <w:rPr>
          <w:sz w:val="16"/>
        </w:rPr>
        <w:t>Awards</w:t>
      </w:r>
      <w:r>
        <w:rPr>
          <w:spacing w:val="-2"/>
          <w:sz w:val="16"/>
        </w:rPr>
        <w:t> </w:t>
      </w:r>
      <w:r>
        <w:rPr>
          <w:sz w:val="16"/>
        </w:rPr>
        <w:t>vested</w:t>
      </w:r>
      <w:r>
        <w:rPr>
          <w:spacing w:val="-4"/>
          <w:sz w:val="16"/>
        </w:rPr>
        <w:t> </w:t>
      </w:r>
      <w:r>
        <w:rPr>
          <w:sz w:val="16"/>
        </w:rPr>
        <w:t>one-half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January</w:t>
      </w:r>
      <w:r>
        <w:rPr>
          <w:spacing w:val="-2"/>
          <w:sz w:val="16"/>
        </w:rPr>
        <w:t> </w:t>
      </w:r>
      <w:r>
        <w:rPr>
          <w:sz w:val="16"/>
        </w:rPr>
        <w:t>31,</w:t>
      </w:r>
      <w:r>
        <w:rPr>
          <w:spacing w:val="-2"/>
          <w:sz w:val="16"/>
        </w:rPr>
        <w:t> </w:t>
      </w:r>
      <w:r>
        <w:rPr>
          <w:sz w:val="16"/>
        </w:rPr>
        <w:t>2022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will</w:t>
      </w:r>
      <w:r>
        <w:rPr>
          <w:spacing w:val="-2"/>
          <w:sz w:val="16"/>
        </w:rPr>
        <w:t> </w:t>
      </w:r>
      <w:r>
        <w:rPr>
          <w:sz w:val="16"/>
        </w:rPr>
        <w:t>vest</w:t>
      </w:r>
      <w:r>
        <w:rPr>
          <w:spacing w:val="-3"/>
          <w:sz w:val="16"/>
        </w:rPr>
        <w:t> </w:t>
      </w:r>
      <w:r>
        <w:rPr>
          <w:sz w:val="16"/>
        </w:rPr>
        <w:t>one-half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January</w:t>
      </w:r>
      <w:r>
        <w:rPr>
          <w:spacing w:val="-3"/>
          <w:sz w:val="16"/>
        </w:rPr>
        <w:t> </w:t>
      </w:r>
      <w:r>
        <w:rPr>
          <w:sz w:val="16"/>
        </w:rPr>
        <w:t>27,</w:t>
      </w:r>
      <w:r>
        <w:rPr>
          <w:spacing w:val="-2"/>
          <w:sz w:val="16"/>
        </w:rPr>
        <w:t> </w:t>
      </w:r>
      <w:r>
        <w:rPr>
          <w:sz w:val="16"/>
        </w:rPr>
        <w:t>2023,</w:t>
      </w:r>
      <w:r>
        <w:rPr>
          <w:spacing w:val="-3"/>
          <w:sz w:val="16"/>
        </w:rPr>
        <w:t> </w:t>
      </w:r>
      <w:r>
        <w:rPr>
          <w:sz w:val="16"/>
        </w:rPr>
        <w:t>subject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satisfaction</w:t>
      </w:r>
      <w:r>
        <w:rPr>
          <w:spacing w:val="-1"/>
          <w:sz w:val="16"/>
        </w:rPr>
        <w:t> </w:t>
      </w:r>
      <w:r>
        <w:rPr>
          <w:sz w:val="16"/>
        </w:rPr>
        <w:t>of the</w:t>
      </w:r>
      <w:r>
        <w:rPr>
          <w:spacing w:val="-1"/>
          <w:sz w:val="16"/>
        </w:rPr>
        <w:t> </w:t>
      </w:r>
      <w:r>
        <w:rPr>
          <w:sz w:val="16"/>
        </w:rPr>
        <w:t>Explicit Service</w:t>
      </w:r>
      <w:r>
        <w:rPr>
          <w:spacing w:val="-2"/>
          <w:sz w:val="16"/>
        </w:rPr>
        <w:t> </w:t>
      </w:r>
      <w:r>
        <w:rPr>
          <w:sz w:val="16"/>
        </w:rPr>
        <w:t>Period</w:t>
      </w:r>
      <w:r>
        <w:rPr>
          <w:spacing w:val="-1"/>
          <w:sz w:val="16"/>
        </w:rPr>
        <w:t> </w:t>
      </w:r>
      <w:r>
        <w:rPr>
          <w:sz w:val="16"/>
        </w:rPr>
        <w:t>requirement.</w:t>
      </w:r>
    </w:p>
    <w:p>
      <w:pPr>
        <w:pStyle w:val="ListParagraph"/>
        <w:numPr>
          <w:ilvl w:val="0"/>
          <w:numId w:val="20"/>
        </w:numPr>
        <w:tabs>
          <w:tab w:pos="610" w:val="left" w:leader="none"/>
        </w:tabs>
        <w:spacing w:line="249" w:lineRule="auto" w:before="61" w:after="0"/>
        <w:ind w:left="610" w:right="649" w:hanging="360"/>
        <w:jc w:val="left"/>
        <w:rPr>
          <w:sz w:val="16"/>
        </w:rPr>
      </w:pPr>
      <w:r>
        <w:rPr>
          <w:spacing w:val="-1"/>
          <w:sz w:val="16"/>
        </w:rPr>
        <w:t>The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performance-based</w:t>
      </w:r>
      <w:r>
        <w:rPr>
          <w:spacing w:val="-3"/>
          <w:sz w:val="16"/>
        </w:rPr>
        <w:t> </w:t>
      </w:r>
      <w:r>
        <w:rPr>
          <w:sz w:val="16"/>
        </w:rPr>
        <w:t>portion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these</w:t>
      </w:r>
      <w:r>
        <w:rPr>
          <w:spacing w:val="-4"/>
          <w:sz w:val="16"/>
        </w:rPr>
        <w:t> </w:t>
      </w:r>
      <w:r>
        <w:rPr>
          <w:sz w:val="16"/>
        </w:rPr>
        <w:t>2020</w:t>
      </w:r>
      <w:r>
        <w:rPr>
          <w:spacing w:val="-10"/>
          <w:sz w:val="16"/>
        </w:rPr>
        <w:t> </w:t>
      </w:r>
      <w:r>
        <w:rPr>
          <w:sz w:val="16"/>
        </w:rPr>
        <w:t>Awards</w:t>
      </w:r>
      <w:r>
        <w:rPr>
          <w:spacing w:val="-3"/>
          <w:sz w:val="16"/>
        </w:rPr>
        <w:t> </w:t>
      </w:r>
      <w:r>
        <w:rPr>
          <w:sz w:val="16"/>
        </w:rPr>
        <w:t>vested</w:t>
      </w:r>
      <w:r>
        <w:rPr>
          <w:spacing w:val="-3"/>
          <w:sz w:val="16"/>
        </w:rPr>
        <w:t> </w:t>
      </w:r>
      <w:r>
        <w:rPr>
          <w:sz w:val="16"/>
        </w:rPr>
        <w:t>one-half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January</w:t>
      </w:r>
      <w:r>
        <w:rPr>
          <w:spacing w:val="-2"/>
          <w:sz w:val="16"/>
        </w:rPr>
        <w:t> </w:t>
      </w:r>
      <w:r>
        <w:rPr>
          <w:sz w:val="16"/>
        </w:rPr>
        <w:t>31,</w:t>
      </w:r>
      <w:r>
        <w:rPr>
          <w:spacing w:val="-2"/>
          <w:sz w:val="16"/>
        </w:rPr>
        <w:t> </w:t>
      </w:r>
      <w:r>
        <w:rPr>
          <w:sz w:val="16"/>
        </w:rPr>
        <w:t>2022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will</w:t>
      </w:r>
      <w:r>
        <w:rPr>
          <w:spacing w:val="-2"/>
          <w:sz w:val="16"/>
        </w:rPr>
        <w:t> </w:t>
      </w:r>
      <w:r>
        <w:rPr>
          <w:sz w:val="16"/>
        </w:rPr>
        <w:t>vest</w:t>
      </w:r>
      <w:r>
        <w:rPr>
          <w:spacing w:val="-2"/>
          <w:sz w:val="16"/>
        </w:rPr>
        <w:t> </w:t>
      </w:r>
      <w:r>
        <w:rPr>
          <w:sz w:val="16"/>
        </w:rPr>
        <w:t>one-half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January</w:t>
      </w:r>
      <w:r>
        <w:rPr>
          <w:spacing w:val="-2"/>
          <w:sz w:val="16"/>
        </w:rPr>
        <w:t> </w:t>
      </w:r>
      <w:r>
        <w:rPr>
          <w:sz w:val="16"/>
        </w:rPr>
        <w:t>27,</w:t>
      </w:r>
      <w:r>
        <w:rPr>
          <w:spacing w:val="-2"/>
          <w:sz w:val="16"/>
        </w:rPr>
        <w:t> </w:t>
      </w:r>
      <w:r>
        <w:rPr>
          <w:sz w:val="16"/>
        </w:rPr>
        <w:t>2023,</w:t>
      </w:r>
      <w:r>
        <w:rPr>
          <w:spacing w:val="1"/>
          <w:sz w:val="16"/>
        </w:rPr>
        <w:t> </w:t>
      </w:r>
      <w:r>
        <w:rPr>
          <w:sz w:val="16"/>
        </w:rPr>
        <w:t>subject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1"/>
          <w:sz w:val="16"/>
        </w:rPr>
        <w:t> </w:t>
      </w:r>
      <w:r>
        <w:rPr>
          <w:sz w:val="16"/>
        </w:rPr>
        <w:t>satisfaction</w:t>
      </w:r>
      <w:r>
        <w:rPr>
          <w:spacing w:val="-2"/>
          <w:sz w:val="16"/>
        </w:rPr>
        <w:t> </w:t>
      </w:r>
      <w:r>
        <w:rPr>
          <w:sz w:val="16"/>
        </w:rPr>
        <w:t>of the</w:t>
      </w:r>
      <w:r>
        <w:rPr>
          <w:spacing w:val="-2"/>
          <w:sz w:val="16"/>
        </w:rPr>
        <w:t> </w:t>
      </w:r>
      <w:r>
        <w:rPr>
          <w:sz w:val="16"/>
        </w:rPr>
        <w:t>Explicit Service</w:t>
      </w:r>
      <w:r>
        <w:rPr>
          <w:spacing w:val="-2"/>
          <w:sz w:val="16"/>
        </w:rPr>
        <w:t> </w:t>
      </w:r>
      <w:r>
        <w:rPr>
          <w:sz w:val="16"/>
        </w:rPr>
        <w:t>Period</w:t>
      </w:r>
      <w:r>
        <w:rPr>
          <w:spacing w:val="-1"/>
          <w:sz w:val="16"/>
        </w:rPr>
        <w:t> </w:t>
      </w:r>
      <w:r>
        <w:rPr>
          <w:sz w:val="16"/>
        </w:rPr>
        <w:t>requirement</w:t>
      </w:r>
      <w:r>
        <w:rPr>
          <w:spacing w:val="-1"/>
          <w:sz w:val="16"/>
        </w:rPr>
        <w:t> </w:t>
      </w:r>
      <w:r>
        <w:rPr>
          <w:sz w:val="16"/>
        </w:rPr>
        <w:t>and</w:t>
      </w:r>
      <w:r>
        <w:rPr>
          <w:spacing w:val="-1"/>
          <w:sz w:val="16"/>
        </w:rPr>
        <w:t> </w:t>
      </w:r>
      <w:r>
        <w:rPr>
          <w:sz w:val="16"/>
        </w:rPr>
        <w:t>performance</w:t>
      </w:r>
      <w:r>
        <w:rPr>
          <w:spacing w:val="-1"/>
          <w:sz w:val="16"/>
        </w:rPr>
        <w:t> </w:t>
      </w:r>
      <w:r>
        <w:rPr>
          <w:sz w:val="16"/>
        </w:rPr>
        <w:t>criteria.</w:t>
      </w:r>
    </w:p>
    <w:p>
      <w:pPr>
        <w:pStyle w:val="ListParagraph"/>
        <w:numPr>
          <w:ilvl w:val="0"/>
          <w:numId w:val="20"/>
        </w:numPr>
        <w:tabs>
          <w:tab w:pos="610" w:val="left" w:leader="none"/>
        </w:tabs>
        <w:spacing w:line="249" w:lineRule="auto" w:before="61" w:after="0"/>
        <w:ind w:left="610" w:right="463" w:hanging="360"/>
        <w:jc w:val="left"/>
        <w:rPr>
          <w:sz w:val="16"/>
        </w:rPr>
      </w:pPr>
      <w:r>
        <w:rPr>
          <w:spacing w:val="-1"/>
          <w:sz w:val="16"/>
        </w:rPr>
        <w:t>The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time-based</w:t>
      </w:r>
      <w:r>
        <w:rPr>
          <w:spacing w:val="-3"/>
          <w:sz w:val="16"/>
        </w:rPr>
        <w:t> </w:t>
      </w:r>
      <w:r>
        <w:rPr>
          <w:sz w:val="16"/>
        </w:rPr>
        <w:t>portion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these</w:t>
      </w:r>
      <w:r>
        <w:rPr>
          <w:spacing w:val="-3"/>
          <w:sz w:val="16"/>
        </w:rPr>
        <w:t> </w:t>
      </w:r>
      <w:r>
        <w:rPr>
          <w:sz w:val="16"/>
        </w:rPr>
        <w:t>2021</w:t>
      </w:r>
      <w:r>
        <w:rPr>
          <w:spacing w:val="-11"/>
          <w:sz w:val="16"/>
        </w:rPr>
        <w:t> </w:t>
      </w:r>
      <w:r>
        <w:rPr>
          <w:sz w:val="16"/>
        </w:rPr>
        <w:t>Awards</w:t>
      </w:r>
      <w:r>
        <w:rPr>
          <w:spacing w:val="-2"/>
          <w:sz w:val="16"/>
        </w:rPr>
        <w:t> </w:t>
      </w:r>
      <w:r>
        <w:rPr>
          <w:sz w:val="16"/>
        </w:rPr>
        <w:t>vested</w:t>
      </w:r>
      <w:r>
        <w:rPr>
          <w:spacing w:val="-4"/>
          <w:sz w:val="16"/>
        </w:rPr>
        <w:t> </w:t>
      </w:r>
      <w:r>
        <w:rPr>
          <w:sz w:val="16"/>
        </w:rPr>
        <w:t>one-third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January</w:t>
      </w:r>
      <w:r>
        <w:rPr>
          <w:spacing w:val="-2"/>
          <w:sz w:val="16"/>
        </w:rPr>
        <w:t> </w:t>
      </w:r>
      <w:r>
        <w:rPr>
          <w:sz w:val="16"/>
        </w:rPr>
        <w:t>31,</w:t>
      </w:r>
      <w:r>
        <w:rPr>
          <w:spacing w:val="-3"/>
          <w:sz w:val="16"/>
        </w:rPr>
        <w:t> </w:t>
      </w:r>
      <w:r>
        <w:rPr>
          <w:sz w:val="16"/>
        </w:rPr>
        <w:t>2022,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will</w:t>
      </w:r>
      <w:r>
        <w:rPr>
          <w:spacing w:val="-3"/>
          <w:sz w:val="16"/>
        </w:rPr>
        <w:t> </w:t>
      </w:r>
      <w:r>
        <w:rPr>
          <w:sz w:val="16"/>
        </w:rPr>
        <w:t>vest</w:t>
      </w:r>
      <w:r>
        <w:rPr>
          <w:spacing w:val="-2"/>
          <w:sz w:val="16"/>
        </w:rPr>
        <w:t> </w:t>
      </w:r>
      <w:r>
        <w:rPr>
          <w:sz w:val="16"/>
        </w:rPr>
        <w:t>one-third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January</w:t>
      </w:r>
      <w:r>
        <w:rPr>
          <w:spacing w:val="-2"/>
          <w:sz w:val="16"/>
        </w:rPr>
        <w:t> </w:t>
      </w:r>
      <w:r>
        <w:rPr>
          <w:sz w:val="16"/>
        </w:rPr>
        <w:t>27,</w:t>
      </w:r>
      <w:r>
        <w:rPr>
          <w:spacing w:val="-2"/>
          <w:sz w:val="16"/>
        </w:rPr>
        <w:t> </w:t>
      </w:r>
      <w:r>
        <w:rPr>
          <w:sz w:val="16"/>
        </w:rPr>
        <w:t>2023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one-</w:t>
      </w:r>
      <w:r>
        <w:rPr>
          <w:spacing w:val="1"/>
          <w:sz w:val="16"/>
        </w:rPr>
        <w:t> </w:t>
      </w:r>
      <w:r>
        <w:rPr>
          <w:sz w:val="16"/>
        </w:rPr>
        <w:t>third</w:t>
      </w:r>
      <w:r>
        <w:rPr>
          <w:spacing w:val="-2"/>
          <w:sz w:val="16"/>
        </w:rPr>
        <w:t> </w:t>
      </w:r>
      <w:r>
        <w:rPr>
          <w:sz w:val="16"/>
        </w:rPr>
        <w:t>on</w:t>
      </w:r>
      <w:r>
        <w:rPr>
          <w:spacing w:val="-1"/>
          <w:sz w:val="16"/>
        </w:rPr>
        <w:t> </w:t>
      </w:r>
      <w:r>
        <w:rPr>
          <w:sz w:val="16"/>
        </w:rPr>
        <w:t>January</w:t>
      </w:r>
      <w:r>
        <w:rPr>
          <w:spacing w:val="-1"/>
          <w:sz w:val="16"/>
        </w:rPr>
        <w:t> </w:t>
      </w:r>
      <w:r>
        <w:rPr>
          <w:sz w:val="16"/>
        </w:rPr>
        <w:t>26, 2024,</w:t>
      </w:r>
      <w:r>
        <w:rPr>
          <w:spacing w:val="-1"/>
          <w:sz w:val="16"/>
        </w:rPr>
        <w:t> </w:t>
      </w:r>
      <w:r>
        <w:rPr>
          <w:sz w:val="16"/>
        </w:rPr>
        <w:t>subject to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1"/>
          <w:sz w:val="16"/>
        </w:rPr>
        <w:t> </w:t>
      </w:r>
      <w:r>
        <w:rPr>
          <w:sz w:val="16"/>
        </w:rPr>
        <w:t>satisfaction</w:t>
      </w:r>
      <w:r>
        <w:rPr>
          <w:spacing w:val="-2"/>
          <w:sz w:val="16"/>
        </w:rPr>
        <w:t> </w:t>
      </w:r>
      <w:r>
        <w:rPr>
          <w:sz w:val="16"/>
        </w:rPr>
        <w:t>of the</w:t>
      </w:r>
      <w:r>
        <w:rPr>
          <w:spacing w:val="-2"/>
          <w:sz w:val="16"/>
        </w:rPr>
        <w:t> </w:t>
      </w:r>
      <w:r>
        <w:rPr>
          <w:sz w:val="16"/>
        </w:rPr>
        <w:t>Explicit Service</w:t>
      </w:r>
      <w:r>
        <w:rPr>
          <w:spacing w:val="-2"/>
          <w:sz w:val="16"/>
        </w:rPr>
        <w:t> </w:t>
      </w:r>
      <w:r>
        <w:rPr>
          <w:sz w:val="16"/>
        </w:rPr>
        <w:t>Period</w:t>
      </w:r>
      <w:r>
        <w:rPr>
          <w:spacing w:val="-1"/>
          <w:sz w:val="16"/>
        </w:rPr>
        <w:t> </w:t>
      </w:r>
      <w:r>
        <w:rPr>
          <w:sz w:val="16"/>
        </w:rPr>
        <w:t>requirement.</w:t>
      </w:r>
    </w:p>
    <w:p>
      <w:pPr>
        <w:pStyle w:val="ListParagraph"/>
        <w:numPr>
          <w:ilvl w:val="0"/>
          <w:numId w:val="20"/>
        </w:numPr>
        <w:tabs>
          <w:tab w:pos="610" w:val="left" w:leader="none"/>
        </w:tabs>
        <w:spacing w:line="249" w:lineRule="auto" w:before="62" w:after="0"/>
        <w:ind w:left="610" w:right="543" w:hanging="360"/>
        <w:jc w:val="left"/>
        <w:rPr>
          <w:sz w:val="16"/>
        </w:rPr>
      </w:pPr>
      <w:r>
        <w:rPr>
          <w:spacing w:val="-1"/>
          <w:sz w:val="16"/>
        </w:rPr>
        <w:t>The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performance-based</w:t>
      </w:r>
      <w:r>
        <w:rPr>
          <w:spacing w:val="-3"/>
          <w:sz w:val="16"/>
        </w:rPr>
        <w:t> </w:t>
      </w:r>
      <w:r>
        <w:rPr>
          <w:sz w:val="16"/>
        </w:rPr>
        <w:t>portion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these</w:t>
      </w:r>
      <w:r>
        <w:rPr>
          <w:spacing w:val="-3"/>
          <w:sz w:val="16"/>
        </w:rPr>
        <w:t> </w:t>
      </w:r>
      <w:r>
        <w:rPr>
          <w:sz w:val="16"/>
        </w:rPr>
        <w:t>2021</w:t>
      </w:r>
      <w:r>
        <w:rPr>
          <w:spacing w:val="-11"/>
          <w:sz w:val="16"/>
        </w:rPr>
        <w:t> </w:t>
      </w:r>
      <w:r>
        <w:rPr>
          <w:sz w:val="16"/>
        </w:rPr>
        <w:t>Awards</w:t>
      </w:r>
      <w:r>
        <w:rPr>
          <w:spacing w:val="-2"/>
          <w:sz w:val="16"/>
        </w:rPr>
        <w:t> </w:t>
      </w:r>
      <w:r>
        <w:rPr>
          <w:sz w:val="16"/>
        </w:rPr>
        <w:t>vested</w:t>
      </w:r>
      <w:r>
        <w:rPr>
          <w:spacing w:val="-3"/>
          <w:sz w:val="16"/>
        </w:rPr>
        <w:t> </w:t>
      </w:r>
      <w:r>
        <w:rPr>
          <w:sz w:val="16"/>
        </w:rPr>
        <w:t>one-third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January</w:t>
      </w:r>
      <w:r>
        <w:rPr>
          <w:spacing w:val="-2"/>
          <w:sz w:val="16"/>
        </w:rPr>
        <w:t> </w:t>
      </w:r>
      <w:r>
        <w:rPr>
          <w:sz w:val="16"/>
        </w:rPr>
        <w:t>31,</w:t>
      </w:r>
      <w:r>
        <w:rPr>
          <w:spacing w:val="-2"/>
          <w:sz w:val="16"/>
        </w:rPr>
        <w:t> </w:t>
      </w:r>
      <w:r>
        <w:rPr>
          <w:sz w:val="16"/>
        </w:rPr>
        <w:t>2022,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will</w:t>
      </w:r>
      <w:r>
        <w:rPr>
          <w:spacing w:val="-2"/>
          <w:sz w:val="16"/>
        </w:rPr>
        <w:t> </w:t>
      </w:r>
      <w:r>
        <w:rPr>
          <w:sz w:val="16"/>
        </w:rPr>
        <w:t>vest</w:t>
      </w:r>
      <w:r>
        <w:rPr>
          <w:spacing w:val="-3"/>
          <w:sz w:val="16"/>
        </w:rPr>
        <w:t> </w:t>
      </w:r>
      <w:r>
        <w:rPr>
          <w:sz w:val="16"/>
        </w:rPr>
        <w:t>one-third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January</w:t>
      </w:r>
      <w:r>
        <w:rPr>
          <w:spacing w:val="-2"/>
          <w:sz w:val="16"/>
        </w:rPr>
        <w:t> </w:t>
      </w:r>
      <w:r>
        <w:rPr>
          <w:sz w:val="16"/>
        </w:rPr>
        <w:t>27,</w:t>
      </w:r>
      <w:r>
        <w:rPr>
          <w:spacing w:val="-2"/>
          <w:sz w:val="16"/>
        </w:rPr>
        <w:t> </w:t>
      </w:r>
      <w:r>
        <w:rPr>
          <w:sz w:val="16"/>
        </w:rPr>
        <w:t>2023</w:t>
      </w:r>
      <w:r>
        <w:rPr>
          <w:spacing w:val="1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one-third</w:t>
      </w:r>
      <w:r>
        <w:rPr>
          <w:spacing w:val="-3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January</w:t>
      </w:r>
      <w:r>
        <w:rPr>
          <w:spacing w:val="-2"/>
          <w:sz w:val="16"/>
        </w:rPr>
        <w:t> </w:t>
      </w:r>
      <w:r>
        <w:rPr>
          <w:sz w:val="16"/>
        </w:rPr>
        <w:t>26,</w:t>
      </w:r>
      <w:r>
        <w:rPr>
          <w:spacing w:val="-2"/>
          <w:sz w:val="16"/>
        </w:rPr>
        <w:t> </w:t>
      </w:r>
      <w:r>
        <w:rPr>
          <w:sz w:val="16"/>
        </w:rPr>
        <w:t>2024,</w:t>
      </w:r>
      <w:r>
        <w:rPr>
          <w:spacing w:val="-1"/>
          <w:sz w:val="16"/>
        </w:rPr>
        <w:t> </w:t>
      </w:r>
      <w:r>
        <w:rPr>
          <w:sz w:val="16"/>
        </w:rPr>
        <w:t>subject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3"/>
          <w:sz w:val="16"/>
        </w:rPr>
        <w:t> </w:t>
      </w:r>
      <w:r>
        <w:rPr>
          <w:sz w:val="16"/>
        </w:rPr>
        <w:t>satisfaction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Explicit</w:t>
      </w:r>
      <w:r>
        <w:rPr>
          <w:spacing w:val="-1"/>
          <w:sz w:val="16"/>
        </w:rPr>
        <w:t> </w:t>
      </w:r>
      <w:r>
        <w:rPr>
          <w:sz w:val="16"/>
        </w:rPr>
        <w:t>Service</w:t>
      </w:r>
      <w:r>
        <w:rPr>
          <w:spacing w:val="-3"/>
          <w:sz w:val="16"/>
        </w:rPr>
        <w:t> </w:t>
      </w:r>
      <w:r>
        <w:rPr>
          <w:sz w:val="16"/>
        </w:rPr>
        <w:t>Period</w:t>
      </w:r>
      <w:r>
        <w:rPr>
          <w:spacing w:val="-3"/>
          <w:sz w:val="16"/>
        </w:rPr>
        <w:t> </w:t>
      </w:r>
      <w:r>
        <w:rPr>
          <w:sz w:val="16"/>
        </w:rPr>
        <w:t>requirement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performance</w:t>
      </w:r>
      <w:r>
        <w:rPr>
          <w:spacing w:val="-2"/>
          <w:sz w:val="16"/>
        </w:rPr>
        <w:t> </w:t>
      </w:r>
      <w:r>
        <w:rPr>
          <w:sz w:val="16"/>
        </w:rPr>
        <w:t>criteria.</w:t>
      </w:r>
    </w:p>
    <w:p>
      <w:pPr>
        <w:pStyle w:val="ListParagraph"/>
        <w:numPr>
          <w:ilvl w:val="0"/>
          <w:numId w:val="20"/>
        </w:numPr>
        <w:tabs>
          <w:tab w:pos="610" w:val="left" w:leader="none"/>
        </w:tabs>
        <w:spacing w:line="240" w:lineRule="auto" w:before="61" w:after="0"/>
        <w:ind w:left="610" w:right="0" w:hanging="360"/>
        <w:jc w:val="left"/>
        <w:rPr>
          <w:sz w:val="16"/>
        </w:rPr>
      </w:pPr>
      <w:r>
        <w:rPr>
          <w:sz w:val="16"/>
        </w:rPr>
        <w:t>In</w:t>
      </w:r>
      <w:r>
        <w:rPr>
          <w:spacing w:val="-5"/>
          <w:sz w:val="16"/>
        </w:rPr>
        <w:t> </w:t>
      </w:r>
      <w:r>
        <w:rPr>
          <w:sz w:val="16"/>
        </w:rPr>
        <w:t>conjunction</w:t>
      </w:r>
      <w:r>
        <w:rPr>
          <w:spacing w:val="-5"/>
          <w:sz w:val="16"/>
        </w:rPr>
        <w:t> </w:t>
      </w:r>
      <w:r>
        <w:rPr>
          <w:sz w:val="16"/>
        </w:rPr>
        <w:t>with</w:t>
      </w:r>
      <w:r>
        <w:rPr>
          <w:spacing w:val="-5"/>
          <w:sz w:val="16"/>
        </w:rPr>
        <w:t> </w:t>
      </w:r>
      <w:r>
        <w:rPr>
          <w:sz w:val="16"/>
        </w:rPr>
        <w:t>his</w:t>
      </w:r>
      <w:r>
        <w:rPr>
          <w:spacing w:val="-3"/>
          <w:sz w:val="16"/>
        </w:rPr>
        <w:t> </w:t>
      </w:r>
      <w:r>
        <w:rPr>
          <w:sz w:val="16"/>
        </w:rPr>
        <w:t>retirement</w:t>
      </w:r>
      <w:r>
        <w:rPr>
          <w:spacing w:val="-4"/>
          <w:sz w:val="16"/>
        </w:rPr>
        <w:t> </w:t>
      </w:r>
      <w:r>
        <w:rPr>
          <w:sz w:val="16"/>
        </w:rPr>
        <w:t>effective</w:t>
      </w:r>
      <w:r>
        <w:rPr>
          <w:spacing w:val="-5"/>
          <w:sz w:val="16"/>
        </w:rPr>
        <w:t> </w:t>
      </w:r>
      <w:r>
        <w:rPr>
          <w:sz w:val="16"/>
        </w:rPr>
        <w:t>on</w:t>
      </w:r>
      <w:r>
        <w:rPr>
          <w:spacing w:val="-4"/>
          <w:sz w:val="16"/>
        </w:rPr>
        <w:t> </w:t>
      </w:r>
      <w:r>
        <w:rPr>
          <w:sz w:val="16"/>
        </w:rPr>
        <w:t>March</w:t>
      </w:r>
      <w:r>
        <w:rPr>
          <w:spacing w:val="-5"/>
          <w:sz w:val="16"/>
        </w:rPr>
        <w:t> </w:t>
      </w:r>
      <w:r>
        <w:rPr>
          <w:sz w:val="16"/>
        </w:rPr>
        <w:t>31,</w:t>
      </w:r>
      <w:r>
        <w:rPr>
          <w:spacing w:val="-4"/>
          <w:sz w:val="16"/>
        </w:rPr>
        <w:t> </w:t>
      </w:r>
      <w:r>
        <w:rPr>
          <w:sz w:val="16"/>
        </w:rPr>
        <w:t>2022,</w:t>
      </w:r>
      <w:r>
        <w:rPr>
          <w:spacing w:val="-4"/>
          <w:sz w:val="16"/>
        </w:rPr>
        <w:t> </w:t>
      </w:r>
      <w:r>
        <w:rPr>
          <w:sz w:val="16"/>
        </w:rPr>
        <w:t>Mr.</w:t>
      </w:r>
      <w:r>
        <w:rPr>
          <w:spacing w:val="-3"/>
          <w:sz w:val="16"/>
        </w:rPr>
        <w:t> </w:t>
      </w:r>
      <w:r>
        <w:rPr>
          <w:sz w:val="16"/>
        </w:rPr>
        <w:t>Maynard</w:t>
      </w:r>
      <w:r>
        <w:rPr>
          <w:spacing w:val="-5"/>
          <w:sz w:val="16"/>
        </w:rPr>
        <w:t> </w:t>
      </w:r>
      <w:r>
        <w:rPr>
          <w:sz w:val="16"/>
        </w:rPr>
        <w:t>will</w:t>
      </w:r>
      <w:r>
        <w:rPr>
          <w:spacing w:val="-4"/>
          <w:sz w:val="16"/>
        </w:rPr>
        <w:t> </w:t>
      </w:r>
      <w:r>
        <w:rPr>
          <w:sz w:val="16"/>
        </w:rPr>
        <w:t>forfeit</w:t>
      </w:r>
      <w:r>
        <w:rPr>
          <w:spacing w:val="-4"/>
          <w:sz w:val="16"/>
        </w:rPr>
        <w:t> </w:t>
      </w:r>
      <w:r>
        <w:rPr>
          <w:sz w:val="16"/>
        </w:rPr>
        <w:t>11,881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unvested</w:t>
      </w:r>
      <w:r>
        <w:rPr>
          <w:spacing w:val="-5"/>
          <w:sz w:val="16"/>
        </w:rPr>
        <w:t> </w:t>
      </w:r>
      <w:r>
        <w:rPr>
          <w:sz w:val="16"/>
        </w:rPr>
        <w:t>Restricted</w:t>
      </w:r>
      <w:r>
        <w:rPr>
          <w:spacing w:val="-4"/>
          <w:sz w:val="16"/>
        </w:rPr>
        <w:t> </w:t>
      </w:r>
      <w:r>
        <w:rPr>
          <w:sz w:val="16"/>
        </w:rPr>
        <w:t>Common</w:t>
      </w:r>
      <w:r>
        <w:rPr>
          <w:spacing w:val="-5"/>
          <w:sz w:val="16"/>
        </w:rPr>
        <w:t> </w:t>
      </w:r>
      <w:r>
        <w:rPr>
          <w:sz w:val="16"/>
        </w:rPr>
        <w:t>Stock.</w:t>
      </w:r>
    </w:p>
    <w:p>
      <w:pPr>
        <w:pStyle w:val="BodyText"/>
        <w:spacing w:before="7"/>
        <w:rPr>
          <w:sz w:val="16"/>
        </w:rPr>
      </w:pPr>
    </w:p>
    <w:p>
      <w:pPr>
        <w:pStyle w:val="Heading2"/>
      </w:pPr>
      <w:bookmarkStart w:name="Option Exercises and Stock Vested" w:id="66"/>
      <w:bookmarkEnd w:id="66"/>
      <w:r>
        <w:rPr>
          <w:b w:val="0"/>
        </w:rPr>
      </w:r>
      <w:bookmarkStart w:name="_bookmark29" w:id="67"/>
      <w:bookmarkEnd w:id="67"/>
      <w:r>
        <w:rPr>
          <w:b w:val="0"/>
        </w:rPr>
      </w:r>
      <w:r>
        <w:rPr>
          <w:color w:val="00539E"/>
        </w:rPr>
        <w:t>Option</w:t>
      </w:r>
      <w:r>
        <w:rPr>
          <w:color w:val="00539E"/>
          <w:spacing w:val="-3"/>
        </w:rPr>
        <w:t> </w:t>
      </w:r>
      <w:r>
        <w:rPr>
          <w:color w:val="00539E"/>
        </w:rPr>
        <w:t>Exercises</w:t>
      </w:r>
      <w:r>
        <w:rPr>
          <w:color w:val="00539E"/>
          <w:spacing w:val="-3"/>
        </w:rPr>
        <w:t> </w:t>
      </w:r>
      <w:r>
        <w:rPr>
          <w:color w:val="00539E"/>
        </w:rPr>
        <w:t>and</w:t>
      </w:r>
      <w:r>
        <w:rPr>
          <w:color w:val="00539E"/>
          <w:spacing w:val="-3"/>
        </w:rPr>
        <w:t> </w:t>
      </w:r>
      <w:r>
        <w:rPr>
          <w:color w:val="00539E"/>
        </w:rPr>
        <w:t>Stock</w:t>
      </w:r>
      <w:r>
        <w:rPr>
          <w:color w:val="00539E"/>
          <w:spacing w:val="-2"/>
        </w:rPr>
        <w:t> </w:t>
      </w:r>
      <w:r>
        <w:rPr>
          <w:color w:val="00539E"/>
        </w:rPr>
        <w:t>Vested</w:t>
      </w:r>
    </w:p>
    <w:p>
      <w:pPr>
        <w:pStyle w:val="BodyText"/>
        <w:spacing w:line="249" w:lineRule="auto" w:before="221"/>
        <w:ind w:left="250" w:right="282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includes</w:t>
      </w:r>
      <w:r>
        <w:rPr>
          <w:spacing w:val="-4"/>
        </w:rPr>
        <w:t> </w:t>
      </w:r>
      <w:r>
        <w:rPr/>
        <w:t>certain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respect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stock</w:t>
      </w:r>
      <w:r>
        <w:rPr>
          <w:spacing w:val="-4"/>
        </w:rPr>
        <w:t> </w:t>
      </w:r>
      <w:r>
        <w:rPr/>
        <w:t>vested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NEOs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year</w:t>
      </w:r>
      <w:r>
        <w:rPr>
          <w:spacing w:val="1"/>
        </w:rPr>
        <w:t> </w:t>
      </w:r>
      <w:r>
        <w:rPr/>
        <w:t>ended</w:t>
      </w:r>
      <w:r>
        <w:rPr>
          <w:spacing w:val="-2"/>
        </w:rPr>
        <w:t> </w:t>
      </w:r>
      <w:r>
        <w:rPr/>
        <w:t>December</w:t>
      </w:r>
      <w:r>
        <w:rPr>
          <w:spacing w:val="-1"/>
        </w:rPr>
        <w:t> </w:t>
      </w:r>
      <w:r>
        <w:rPr/>
        <w:t>31,</w:t>
      </w:r>
      <w:r>
        <w:rPr>
          <w:spacing w:val="-1"/>
        </w:rPr>
        <w:t> </w:t>
      </w:r>
      <w:r>
        <w:rPr/>
        <w:t>2021.</w:t>
      </w:r>
    </w:p>
    <w:p>
      <w:pPr>
        <w:tabs>
          <w:tab w:pos="7341" w:val="left" w:leader="none"/>
        </w:tabs>
        <w:spacing w:before="185"/>
        <w:ind w:left="3641" w:right="0" w:firstLine="0"/>
        <w:jc w:val="left"/>
        <w:rPr>
          <w:b/>
          <w:sz w:val="16"/>
        </w:rPr>
      </w:pPr>
      <w:r>
        <w:rPr/>
        <w:pict>
          <v:group style="position:absolute;margin-left:171pt;margin-top:19.433901pt;width:153pt;height:1pt;mso-position-horizontal-relative:page;mso-position-vertical-relative:paragraph;z-index:15775744" id="docshapegroup126" coordorigin="3420,389" coordsize="3060,20">
            <v:shape style="position:absolute;left:3420;top:398;width:3060;height:2" id="docshape127" coordorigin="3420,399" coordsize="3060,0" path="m6480,399l3420,399e" filled="true" fillcolor="#000000" stroked="false">
              <v:path arrowok="t"/>
              <v:fill opacity="0f" type="solid"/>
            </v:shape>
            <v:line style="position:absolute" from="3420,399" to="6480,399" stroked="true" strokeweight="1pt" strokecolor="#00539e">
              <v:stroke dashstyle="solid"/>
            </v:line>
            <w10:wrap type="none"/>
          </v:group>
        </w:pict>
      </w:r>
      <w:r>
        <w:rPr/>
        <w:pict>
          <v:group style="position:absolute;margin-left:327.75pt;margin-top:19.433901pt;width:205.5pt;height:1pt;mso-position-horizontal-relative:page;mso-position-vertical-relative:paragraph;z-index:15776256" id="docshapegroup128" coordorigin="6555,389" coordsize="4110,20">
            <v:shape style="position:absolute;left:6555;top:398;width:4110;height:2" id="docshape129" coordorigin="6555,399" coordsize="4110,0" path="m10665,399l6555,399e" filled="true" fillcolor="#000000" stroked="false">
              <v:path arrowok="t"/>
              <v:fill opacity="0f" type="solid"/>
            </v:shape>
            <v:line style="position:absolute" from="6555,399" to="10665,399" stroked="true" strokeweight="1pt" strokecolor="#00539e">
              <v:stroke dashstyle="solid"/>
            </v:line>
            <w10:wrap type="none"/>
          </v:group>
        </w:pict>
      </w:r>
      <w:r>
        <w:rPr>
          <w:b/>
          <w:sz w:val="16"/>
        </w:rPr>
        <w:t>Option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Awards</w:t>
        <w:tab/>
        <w:t>Stock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Awards</w:t>
      </w:r>
    </w:p>
    <w:p>
      <w:pPr>
        <w:spacing w:after="0"/>
        <w:jc w:val="left"/>
        <w:rPr>
          <w:sz w:val="16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rPr>
          <w:b/>
          <w:sz w:val="18"/>
        </w:rPr>
      </w:pPr>
    </w:p>
    <w:p>
      <w:pPr>
        <w:pStyle w:val="BodyText"/>
        <w:spacing w:before="5"/>
        <w:rPr>
          <w:b/>
          <w:sz w:val="19"/>
        </w:rPr>
      </w:pPr>
    </w:p>
    <w:p>
      <w:pPr>
        <w:spacing w:before="0"/>
        <w:ind w:left="302" w:right="0" w:firstLine="0"/>
        <w:jc w:val="left"/>
        <w:rPr>
          <w:b/>
          <w:sz w:val="16"/>
        </w:rPr>
      </w:pPr>
      <w:r>
        <w:rPr>
          <w:b/>
          <w:sz w:val="16"/>
        </w:rPr>
        <w:t>Name</w:t>
      </w:r>
    </w:p>
    <w:p>
      <w:pPr>
        <w:spacing w:line="235" w:lineRule="auto" w:before="73"/>
        <w:ind w:left="524" w:right="20" w:hanging="223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Number of Shares</w:t>
      </w:r>
      <w:r>
        <w:rPr>
          <w:b/>
          <w:spacing w:val="-43"/>
          <w:sz w:val="16"/>
        </w:rPr>
        <w:t> </w:t>
      </w:r>
      <w:r>
        <w:rPr>
          <w:b/>
          <w:sz w:val="16"/>
        </w:rPr>
        <w:t>Acquired on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Exercise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(#)</w:t>
      </w:r>
    </w:p>
    <w:p>
      <w:pPr>
        <w:spacing w:line="235" w:lineRule="auto" w:before="73"/>
        <w:ind w:left="302" w:right="28" w:firstLine="235"/>
        <w:jc w:val="left"/>
        <w:rPr>
          <w:b/>
          <w:sz w:val="16"/>
        </w:rPr>
      </w:pPr>
      <w:r>
        <w:rPr/>
        <w:br w:type="column"/>
      </w:r>
      <w:r>
        <w:rPr>
          <w:b/>
          <w:sz w:val="16"/>
        </w:rPr>
        <w:t>Value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Realized on</w:t>
      </w:r>
      <w:r>
        <w:rPr>
          <w:b/>
          <w:spacing w:val="-42"/>
          <w:sz w:val="16"/>
        </w:rPr>
        <w:t> </w:t>
      </w:r>
      <w:r>
        <w:rPr>
          <w:b/>
          <w:spacing w:val="-1"/>
          <w:sz w:val="16"/>
        </w:rPr>
        <w:t>Exercise</w:t>
      </w:r>
      <w:r>
        <w:rPr>
          <w:b/>
          <w:spacing w:val="-8"/>
          <w:sz w:val="16"/>
        </w:rPr>
        <w:t> </w:t>
      </w:r>
      <w:r>
        <w:rPr>
          <w:b/>
          <w:sz w:val="16"/>
        </w:rPr>
        <w:t>($)</w:t>
      </w:r>
    </w:p>
    <w:p>
      <w:pPr>
        <w:spacing w:line="240" w:lineRule="auto" w:before="1"/>
        <w:rPr>
          <w:b/>
          <w:sz w:val="20"/>
        </w:rPr>
      </w:pPr>
      <w:r>
        <w:rPr/>
        <w:br w:type="column"/>
      </w:r>
      <w:r>
        <w:rPr>
          <w:b/>
          <w:sz w:val="20"/>
        </w:rPr>
      </w:r>
    </w:p>
    <w:p>
      <w:pPr>
        <w:spacing w:line="254" w:lineRule="auto" w:before="0"/>
        <w:ind w:left="302" w:right="0" w:firstLine="302"/>
        <w:jc w:val="left"/>
        <w:rPr>
          <w:b/>
          <w:sz w:val="16"/>
        </w:rPr>
      </w:pPr>
      <w:r>
        <w:rPr>
          <w:b/>
          <w:sz w:val="16"/>
        </w:rPr>
        <w:t>Number of Shares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Acquired on Vesting (#) </w:t>
      </w:r>
      <w:r>
        <w:rPr>
          <w:b/>
          <w:sz w:val="16"/>
          <w:vertAlign w:val="superscript"/>
        </w:rPr>
        <w:t>(1)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35" w:lineRule="auto" w:before="0"/>
        <w:ind w:left="573" w:right="1127" w:hanging="271"/>
        <w:jc w:val="left"/>
        <w:rPr>
          <w:b/>
          <w:sz w:val="16"/>
        </w:rPr>
      </w:pPr>
      <w:r>
        <w:rPr>
          <w:b/>
          <w:sz w:val="16"/>
        </w:rPr>
        <w:t>Value Realized on</w:t>
      </w:r>
      <w:r>
        <w:rPr>
          <w:b/>
          <w:spacing w:val="-43"/>
          <w:sz w:val="16"/>
        </w:rPr>
        <w:t> </w:t>
      </w:r>
      <w:r>
        <w:rPr>
          <w:b/>
          <w:sz w:val="16"/>
        </w:rPr>
        <w:t>Vesting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($)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header="0" w:footer="517" w:top="860" w:bottom="280" w:left="740" w:right="700"/>
          <w:cols w:num="5" w:equalWidth="0">
            <w:col w:w="779" w:space="1676"/>
            <w:col w:w="1720" w:space="131"/>
            <w:col w:w="1240" w:space="48"/>
            <w:col w:w="2323" w:space="73"/>
            <w:col w:w="2810"/>
          </w:cols>
        </w:sectPr>
      </w:pP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483.75pt;height:1pt;mso-position-horizontal-relative:char;mso-position-vertical-relative:line" id="docshapegroup130" coordorigin="0,0" coordsize="9675,20">
            <v:shape style="position:absolute;left:0;top:10;width:9675;height:2" id="docshape131" coordorigin="0,10" coordsize="9675,0" path="m9675,10l0,10e" filled="true" fillcolor="#000000" stroked="false">
              <v:path arrowok="t"/>
              <v:fill opacity="0f" type="solid"/>
            </v:shape>
            <v:line style="position:absolute" from="0,10" to="9675,10" stroked="true" strokeweight="1pt" strokecolor="#00539e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997" w:val="left" w:leader="none"/>
          <w:tab w:pos="5527" w:val="left" w:leader="none"/>
          <w:tab w:pos="7403" w:val="left" w:leader="none"/>
          <w:tab w:pos="9146" w:val="left" w:leader="none"/>
        </w:tabs>
        <w:spacing w:before="45"/>
        <w:ind w:left="302" w:right="0" w:firstLine="0"/>
        <w:jc w:val="left"/>
        <w:rPr>
          <w:sz w:val="16"/>
        </w:rPr>
      </w:pPr>
      <w:r>
        <w:rPr/>
        <w:pict>
          <v:group style="position:absolute;margin-left:49.5pt;margin-top:12.433901pt;width:483.75pt;height:1pt;mso-position-horizontal-relative:page;mso-position-vertical-relative:paragraph;z-index:-15684096;mso-wrap-distance-left:0;mso-wrap-distance-right:0" id="docshapegroup132" coordorigin="990,249" coordsize="9675,20">
            <v:shape style="position:absolute;left:990;top:258;width:9675;height:2" id="docshape133" coordorigin="990,259" coordsize="9675,0" path="m10665,259l990,259e" filled="true" fillcolor="#000000" stroked="false">
              <v:path arrowok="t"/>
              <v:fill opacity="0f" type="solid"/>
            </v:shape>
            <v:line style="position:absolute" from="990,259" to="10665,259" stroked="true" strokeweight="1pt" strokecolor="#888a8c">
              <v:stroke dashstyle="solid"/>
            </v:line>
            <w10:wrap type="topAndBottom"/>
          </v:group>
        </w:pict>
      </w:r>
      <w:r>
        <w:rPr>
          <w:sz w:val="16"/>
        </w:rPr>
        <w:t>Marguerite</w:t>
      </w:r>
      <w:r>
        <w:rPr>
          <w:spacing w:val="-4"/>
          <w:sz w:val="16"/>
        </w:rPr>
        <w:t> </w:t>
      </w:r>
      <w:r>
        <w:rPr>
          <w:sz w:val="16"/>
        </w:rPr>
        <w:t>Nader</w:t>
        <w:tab/>
        <w:t>—</w:t>
        <w:tab/>
        <w:t>—</w:t>
        <w:tab/>
        <w:t>31,768</w:t>
        <w:tab/>
        <w:t>1,953,732</w:t>
      </w:r>
    </w:p>
    <w:p>
      <w:pPr>
        <w:tabs>
          <w:tab w:pos="3997" w:val="left" w:leader="none"/>
          <w:tab w:pos="5527" w:val="left" w:leader="none"/>
          <w:tab w:pos="7403" w:val="left" w:leader="none"/>
          <w:tab w:pos="9161" w:val="left" w:leader="none"/>
        </w:tabs>
        <w:spacing w:before="31" w:after="20"/>
        <w:ind w:left="302" w:right="0" w:firstLine="0"/>
        <w:jc w:val="left"/>
        <w:rPr>
          <w:sz w:val="16"/>
        </w:rPr>
      </w:pPr>
      <w:r>
        <w:rPr>
          <w:sz w:val="16"/>
        </w:rPr>
        <w:t>Paul</w:t>
      </w:r>
      <w:r>
        <w:rPr>
          <w:spacing w:val="-2"/>
          <w:sz w:val="16"/>
        </w:rPr>
        <w:t> </w:t>
      </w:r>
      <w:r>
        <w:rPr>
          <w:sz w:val="16"/>
        </w:rPr>
        <w:t>Seavey</w:t>
        <w:tab/>
        <w:t>—</w:t>
        <w:tab/>
        <w:t>—</w:t>
        <w:tab/>
        <w:t>25,858</w:t>
        <w:tab/>
        <w:t>1,590,267</w:t>
      </w: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483.75pt;height:1pt;mso-position-horizontal-relative:char;mso-position-vertical-relative:line" id="docshapegroup134" coordorigin="0,0" coordsize="9675,20">
            <v:shape style="position:absolute;left:0;top:10;width:9675;height:2" id="docshape135" coordorigin="0,10" coordsize="9675,0" path="m9675,10l0,10e" filled="true" fillcolor="#000000" stroked="false">
              <v:path arrowok="t"/>
              <v:fill opacity="0f" type="solid"/>
            </v:shape>
            <v:line style="position:absolute" from="0,10" to="9675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997" w:val="left" w:leader="none"/>
          <w:tab w:pos="5527" w:val="left" w:leader="none"/>
          <w:tab w:pos="7418" w:val="left" w:leader="none"/>
          <w:tab w:pos="9161" w:val="left" w:leader="none"/>
        </w:tabs>
        <w:spacing w:before="31"/>
        <w:ind w:left="302" w:right="0" w:firstLine="0"/>
        <w:jc w:val="left"/>
        <w:rPr>
          <w:sz w:val="16"/>
        </w:rPr>
      </w:pPr>
      <w:r>
        <w:rPr/>
        <w:pict>
          <v:group style="position:absolute;margin-left:49.5pt;margin-top:11.733901pt;width:483.75pt;height:1pt;mso-position-horizontal-relative:page;mso-position-vertical-relative:paragraph;z-index:-15683072;mso-wrap-distance-left:0;mso-wrap-distance-right:0" id="docshapegroup136" coordorigin="990,235" coordsize="9675,20">
            <v:shape style="position:absolute;left:990;top:244;width:9675;height:2" id="docshape137" coordorigin="990,245" coordsize="9675,0" path="m10665,245l990,245e" filled="true" fillcolor="#000000" stroked="false">
              <v:path arrowok="t"/>
              <v:fill opacity="0f" type="solid"/>
            </v:shape>
            <v:line style="position:absolute" from="990,245" to="10665,245" stroked="true" strokeweight="1pt" strokecolor="#888a8c">
              <v:stroke dashstyle="solid"/>
            </v:line>
            <w10:wrap type="topAndBottom"/>
          </v:group>
        </w:pict>
      </w:r>
      <w:r>
        <w:rPr>
          <w:sz w:val="16"/>
        </w:rPr>
        <w:t>Patrick</w:t>
      </w:r>
      <w:r>
        <w:rPr>
          <w:spacing w:val="-4"/>
          <w:sz w:val="16"/>
        </w:rPr>
        <w:t> </w:t>
      </w:r>
      <w:r>
        <w:rPr>
          <w:sz w:val="16"/>
        </w:rPr>
        <w:t>Waite</w:t>
        <w:tab/>
        <w:t>—</w:t>
        <w:tab/>
        <w:t>—</w:t>
        <w:tab/>
        <w:t>25,858</w:t>
        <w:tab/>
        <w:t>1,590,267</w:t>
      </w:r>
    </w:p>
    <w:p>
      <w:pPr>
        <w:tabs>
          <w:tab w:pos="3997" w:val="left" w:leader="none"/>
          <w:tab w:pos="5527" w:val="left" w:leader="none"/>
          <w:tab w:pos="7418" w:val="left" w:leader="none"/>
          <w:tab w:pos="9295" w:val="left" w:leader="none"/>
        </w:tabs>
        <w:spacing w:before="31" w:after="20"/>
        <w:ind w:left="302" w:right="0" w:firstLine="0"/>
        <w:jc w:val="left"/>
        <w:rPr>
          <w:sz w:val="16"/>
        </w:rPr>
      </w:pPr>
      <w:r>
        <w:rPr>
          <w:sz w:val="16"/>
        </w:rPr>
        <w:t>Roger</w:t>
      </w:r>
      <w:r>
        <w:rPr>
          <w:spacing w:val="-3"/>
          <w:sz w:val="16"/>
        </w:rPr>
        <w:t> </w:t>
      </w:r>
      <w:r>
        <w:rPr>
          <w:sz w:val="16"/>
        </w:rPr>
        <w:t>Maynard</w:t>
        <w:tab/>
        <w:t>—</w:t>
        <w:tab/>
        <w:t>—</w:t>
        <w:tab/>
        <w:t>14,213</w:t>
        <w:tab/>
        <w:t>874,099</w:t>
      </w: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483.75pt;height:1pt;mso-position-horizontal-relative:char;mso-position-vertical-relative:line" id="docshapegroup138" coordorigin="0,0" coordsize="9675,20">
            <v:shape style="position:absolute;left:0;top:10;width:9675;height:2" id="docshape139" coordorigin="0,10" coordsize="9675,0" path="m9675,10l0,10e" filled="true" fillcolor="#000000" stroked="false">
              <v:path arrowok="t"/>
              <v:fill opacity="0f" type="solid"/>
            </v:shape>
            <v:line style="position:absolute" from="0,10" to="9675,10" stroked="true" strokeweight="1pt" strokecolor="#888a8c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3997" w:val="left" w:leader="none"/>
          <w:tab w:pos="5527" w:val="left" w:leader="none"/>
          <w:tab w:pos="7418" w:val="left" w:leader="none"/>
          <w:tab w:pos="9295" w:val="left" w:leader="none"/>
        </w:tabs>
        <w:spacing w:before="31"/>
        <w:ind w:left="302" w:right="0" w:firstLine="0"/>
        <w:jc w:val="left"/>
        <w:rPr>
          <w:sz w:val="16"/>
        </w:rPr>
      </w:pPr>
      <w:r>
        <w:rPr/>
        <w:pict>
          <v:group style="position:absolute;margin-left:49.5pt;margin-top:11.733893pt;width:483.75pt;height:1pt;mso-position-horizontal-relative:page;mso-position-vertical-relative:paragraph;z-index:-15682048;mso-wrap-distance-left:0;mso-wrap-distance-right:0" id="docshapegroup140" coordorigin="990,235" coordsize="9675,20">
            <v:shape style="position:absolute;left:990;top:244;width:9675;height:2" id="docshape141" coordorigin="990,245" coordsize="9675,0" path="m10665,245l990,245e" filled="true" fillcolor="#000000" stroked="false">
              <v:path arrowok="t"/>
              <v:fill opacity="0f" type="solid"/>
            </v:shape>
            <v:line style="position:absolute" from="990,245" to="10665,245" stroked="true" strokeweight="1pt" strokecolor="#00539e">
              <v:stroke dashstyle="solid"/>
            </v:line>
            <w10:wrap type="topAndBottom"/>
          </v:group>
        </w:pict>
      </w:r>
      <w:r>
        <w:rPr>
          <w:sz w:val="16"/>
        </w:rPr>
        <w:t>David</w:t>
      </w:r>
      <w:r>
        <w:rPr>
          <w:spacing w:val="-4"/>
          <w:sz w:val="16"/>
        </w:rPr>
        <w:t> </w:t>
      </w:r>
      <w:r>
        <w:rPr>
          <w:sz w:val="16"/>
        </w:rPr>
        <w:t>Eldersveld</w:t>
        <w:tab/>
        <w:t>—</w:t>
        <w:tab/>
        <w:t>—</w:t>
        <w:tab/>
        <w:t>12,787</w:t>
        <w:tab/>
        <w:t>786,400</w:t>
      </w:r>
    </w:p>
    <w:p>
      <w:pPr>
        <w:spacing w:line="249" w:lineRule="auto" w:before="100"/>
        <w:ind w:left="520" w:right="382" w:hanging="270"/>
        <w:jc w:val="left"/>
        <w:rPr>
          <w:sz w:val="16"/>
        </w:rPr>
      </w:pPr>
      <w:r>
        <w:rPr>
          <w:sz w:val="16"/>
        </w:rPr>
        <w:t>(1) Upon vesting of these stock awards, the Company purchased 14,076, 10,425, 10,423, 4,548 and 4,630 shares from Ms. Nader, Mr. Seavey,</w:t>
      </w:r>
      <w:r>
        <w:rPr>
          <w:spacing w:val="-42"/>
          <w:sz w:val="16"/>
        </w:rPr>
        <w:t> </w:t>
      </w:r>
      <w:r>
        <w:rPr>
          <w:sz w:val="16"/>
        </w:rPr>
        <w:t>Mr.</w:t>
      </w:r>
      <w:r>
        <w:rPr>
          <w:spacing w:val="-2"/>
          <w:sz w:val="16"/>
        </w:rPr>
        <w:t> </w:t>
      </w:r>
      <w:r>
        <w:rPr>
          <w:sz w:val="16"/>
        </w:rPr>
        <w:t>Waite,</w:t>
      </w:r>
      <w:r>
        <w:rPr>
          <w:spacing w:val="-1"/>
          <w:sz w:val="16"/>
        </w:rPr>
        <w:t> </w:t>
      </w:r>
      <w:r>
        <w:rPr>
          <w:sz w:val="16"/>
        </w:rPr>
        <w:t>Mr.</w:t>
      </w:r>
      <w:r>
        <w:rPr>
          <w:spacing w:val="-1"/>
          <w:sz w:val="16"/>
        </w:rPr>
        <w:t> </w:t>
      </w:r>
      <w:r>
        <w:rPr>
          <w:sz w:val="16"/>
        </w:rPr>
        <w:t>Maynard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Mr.</w:t>
      </w:r>
      <w:r>
        <w:rPr>
          <w:spacing w:val="-1"/>
          <w:sz w:val="16"/>
        </w:rPr>
        <w:t> </w:t>
      </w:r>
      <w:r>
        <w:rPr>
          <w:sz w:val="16"/>
        </w:rPr>
        <w:t>Eldersveld,</w:t>
      </w:r>
      <w:r>
        <w:rPr>
          <w:spacing w:val="-1"/>
          <w:sz w:val="16"/>
        </w:rPr>
        <w:t> </w:t>
      </w:r>
      <w:r>
        <w:rPr>
          <w:sz w:val="16"/>
        </w:rPr>
        <w:t>respectively,</w:t>
      </w:r>
      <w:r>
        <w:rPr>
          <w:spacing w:val="-1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pay</w:t>
      </w:r>
      <w:r>
        <w:rPr>
          <w:spacing w:val="-1"/>
          <w:sz w:val="16"/>
        </w:rPr>
        <w:t> </w:t>
      </w:r>
      <w:r>
        <w:rPr>
          <w:sz w:val="16"/>
        </w:rPr>
        <w:t>their</w:t>
      </w:r>
      <w:r>
        <w:rPr>
          <w:spacing w:val="-1"/>
          <w:sz w:val="16"/>
        </w:rPr>
        <w:t> </w:t>
      </w:r>
      <w:r>
        <w:rPr>
          <w:sz w:val="16"/>
        </w:rPr>
        <w:t>respective</w:t>
      </w:r>
      <w:r>
        <w:rPr>
          <w:spacing w:val="-2"/>
          <w:sz w:val="16"/>
        </w:rPr>
        <w:t> </w:t>
      </w:r>
      <w:r>
        <w:rPr>
          <w:sz w:val="16"/>
        </w:rPr>
        <w:t>withholding</w:t>
      </w:r>
      <w:r>
        <w:rPr>
          <w:spacing w:val="-2"/>
          <w:sz w:val="16"/>
        </w:rPr>
        <w:t> </w:t>
      </w:r>
      <w:r>
        <w:rPr>
          <w:sz w:val="16"/>
        </w:rPr>
        <w:t>taxes.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240" w:h="15840"/>
          <w:pgMar w:header="0" w:footer="517" w:top="860" w:bottom="280" w:left="740" w:right="700"/>
        </w:sectPr>
      </w:pPr>
    </w:p>
    <w:p>
      <w:pPr>
        <w:pStyle w:val="Heading2"/>
        <w:spacing w:before="64"/>
      </w:pPr>
      <w:bookmarkStart w:name="Potential Payments Upon Termination of E" w:id="68"/>
      <w:bookmarkEnd w:id="68"/>
      <w:r>
        <w:rPr>
          <w:b w:val="0"/>
        </w:rPr>
      </w:r>
      <w:bookmarkStart w:name="_bookmark30" w:id="69"/>
      <w:bookmarkEnd w:id="69"/>
      <w:r>
        <w:rPr>
          <w:b w:val="0"/>
        </w:rPr>
      </w:r>
      <w:r>
        <w:rPr>
          <w:color w:val="00539E"/>
        </w:rPr>
        <w:t>Potential</w:t>
      </w:r>
      <w:r>
        <w:rPr>
          <w:color w:val="00539E"/>
          <w:spacing w:val="-3"/>
        </w:rPr>
        <w:t> </w:t>
      </w:r>
      <w:r>
        <w:rPr>
          <w:color w:val="00539E"/>
        </w:rPr>
        <w:t>Payments</w:t>
      </w:r>
      <w:r>
        <w:rPr>
          <w:color w:val="00539E"/>
          <w:spacing w:val="-2"/>
        </w:rPr>
        <w:t> </w:t>
      </w:r>
      <w:r>
        <w:rPr>
          <w:color w:val="00539E"/>
        </w:rPr>
        <w:t>Upon</w:t>
      </w:r>
      <w:r>
        <w:rPr>
          <w:color w:val="00539E"/>
          <w:spacing w:val="-2"/>
        </w:rPr>
        <w:t> </w:t>
      </w:r>
      <w:r>
        <w:rPr>
          <w:color w:val="00539E"/>
        </w:rPr>
        <w:t>Termination</w:t>
      </w:r>
      <w:r>
        <w:rPr>
          <w:color w:val="00539E"/>
          <w:spacing w:val="-2"/>
        </w:rPr>
        <w:t> </w:t>
      </w:r>
      <w:r>
        <w:rPr>
          <w:color w:val="00539E"/>
        </w:rPr>
        <w:t>of</w:t>
      </w:r>
      <w:r>
        <w:rPr>
          <w:color w:val="00539E"/>
          <w:spacing w:val="-2"/>
        </w:rPr>
        <w:t> </w:t>
      </w:r>
      <w:r>
        <w:rPr>
          <w:color w:val="00539E"/>
        </w:rPr>
        <w:t>Employment</w:t>
      </w:r>
      <w:r>
        <w:rPr>
          <w:color w:val="00539E"/>
          <w:spacing w:val="-2"/>
        </w:rPr>
        <w:t> </w:t>
      </w:r>
      <w:r>
        <w:rPr>
          <w:color w:val="00539E"/>
        </w:rPr>
        <w:t>or</w:t>
      </w:r>
      <w:r>
        <w:rPr>
          <w:color w:val="00539E"/>
          <w:spacing w:val="-2"/>
        </w:rPr>
        <w:t> </w:t>
      </w:r>
      <w:r>
        <w:rPr>
          <w:color w:val="00539E"/>
        </w:rPr>
        <w:t>Change</w:t>
      </w:r>
      <w:r>
        <w:rPr>
          <w:color w:val="00539E"/>
          <w:spacing w:val="-2"/>
        </w:rPr>
        <w:t> </w:t>
      </w:r>
      <w:r>
        <w:rPr>
          <w:color w:val="00539E"/>
        </w:rPr>
        <w:t>In</w:t>
      </w:r>
      <w:r>
        <w:rPr>
          <w:color w:val="00539E"/>
          <w:spacing w:val="-2"/>
        </w:rPr>
        <w:t> </w:t>
      </w:r>
      <w:r>
        <w:rPr>
          <w:color w:val="00539E"/>
        </w:rPr>
        <w:t>Control</w:t>
      </w:r>
    </w:p>
    <w:p>
      <w:pPr>
        <w:pStyle w:val="BodyText"/>
        <w:spacing w:line="249" w:lineRule="auto" w:before="221"/>
        <w:ind w:left="250" w:right="294"/>
      </w:pPr>
      <w:r>
        <w:rPr/>
        <w:t>None of our NEOs is entitled to any payment upon a change in control of the Company or a termination of</w:t>
      </w:r>
      <w:r>
        <w:rPr>
          <w:spacing w:val="1"/>
        </w:rPr>
        <w:t> </w:t>
      </w:r>
      <w:r>
        <w:rPr/>
        <w:t>employment. However, the vesting of Restricted Common Stock awards is subject to acceleration upon a change of</w:t>
      </w:r>
      <w:r>
        <w:rPr>
          <w:spacing w:val="-53"/>
        </w:rPr>
        <w:t> </w:t>
      </w:r>
      <w:r>
        <w:rPr/>
        <w:t>control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Company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case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death</w:t>
      </w:r>
      <w:r>
        <w:rPr>
          <w:spacing w:val="3"/>
        </w:rPr>
        <w:t> </w:t>
      </w:r>
      <w:r>
        <w:rPr/>
        <w:t>or</w:t>
      </w:r>
      <w:r>
        <w:rPr>
          <w:spacing w:val="2"/>
        </w:rPr>
        <w:t> </w:t>
      </w:r>
      <w:r>
        <w:rPr/>
        <w:t>disability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recipient.</w:t>
      </w:r>
      <w:r>
        <w:rPr>
          <w:spacing w:val="52"/>
        </w:rPr>
        <w:t> </w:t>
      </w:r>
      <w:r>
        <w:rPr/>
        <w:t>The</w:t>
      </w:r>
      <w:r>
        <w:rPr>
          <w:spacing w:val="3"/>
        </w:rPr>
        <w:t> </w:t>
      </w:r>
      <w:r>
        <w:rPr/>
        <w:t>number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shares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restricted</w:t>
      </w:r>
      <w:r>
        <w:rPr>
          <w:spacing w:val="1"/>
        </w:rPr>
        <w:t> </w:t>
      </w:r>
      <w:r>
        <w:rPr>
          <w:spacing w:val="-1"/>
        </w:rPr>
        <w:t>stock </w:t>
      </w:r>
      <w:r>
        <w:rPr/>
        <w:t>held by our NEOs that was not vested as of December 31, 2021 is shown in the "Outstanding Equity Awards</w:t>
      </w:r>
      <w:r>
        <w:rPr>
          <w:spacing w:val="1"/>
        </w:rPr>
        <w:t> </w:t>
      </w:r>
      <w:r>
        <w:rPr/>
        <w:t>at</w:t>
      </w:r>
      <w:r>
        <w:rPr>
          <w:spacing w:val="-3"/>
        </w:rPr>
        <w:t> </w:t>
      </w:r>
      <w:r>
        <w:rPr/>
        <w:t>Fiscal</w:t>
      </w:r>
      <w:r>
        <w:rPr>
          <w:spacing w:val="-6"/>
        </w:rPr>
        <w:t> </w:t>
      </w:r>
      <w:r>
        <w:rPr/>
        <w:t>Year-End"</w:t>
      </w:r>
      <w:r>
        <w:rPr>
          <w:spacing w:val="-2"/>
        </w:rPr>
        <w:t> </w:t>
      </w:r>
      <w:r>
        <w:rPr/>
        <w:t>table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Proxy</w:t>
      </w:r>
      <w:r>
        <w:rPr>
          <w:spacing w:val="-3"/>
        </w:rPr>
        <w:t> </w:t>
      </w:r>
      <w:r>
        <w:rPr/>
        <w:t>Statement.</w:t>
      </w:r>
      <w:r>
        <w:rPr>
          <w:spacing w:val="47"/>
        </w:rPr>
        <w:t> </w:t>
      </w:r>
      <w:r>
        <w:rPr/>
        <w:t>The</w:t>
      </w:r>
      <w:r>
        <w:rPr>
          <w:spacing w:val="-2"/>
        </w:rPr>
        <w:t> </w:t>
      </w:r>
      <w:r>
        <w:rPr/>
        <w:t>NEOs</w:t>
      </w:r>
      <w:r>
        <w:rPr>
          <w:spacing w:val="-3"/>
        </w:rPr>
        <w:t> </w:t>
      </w:r>
      <w:r>
        <w:rPr/>
        <w:t>have</w:t>
      </w:r>
      <w:r>
        <w:rPr>
          <w:spacing w:val="-2"/>
        </w:rPr>
        <w:t> </w:t>
      </w:r>
      <w:r>
        <w:rPr/>
        <w:t>not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awarded</w:t>
      </w:r>
      <w:r>
        <w:rPr>
          <w:spacing w:val="-2"/>
        </w:rPr>
        <w:t> </w:t>
      </w:r>
      <w:r>
        <w:rPr/>
        <w:t>stock</w:t>
      </w:r>
      <w:r>
        <w:rPr>
          <w:spacing w:val="-3"/>
        </w:rPr>
        <w:t> </w:t>
      </w:r>
      <w:r>
        <w:rPr/>
        <w:t>options.</w:t>
      </w:r>
    </w:p>
    <w:p>
      <w:pPr>
        <w:pStyle w:val="Heading2"/>
        <w:spacing w:before="195"/>
      </w:pPr>
      <w:bookmarkStart w:name="CEO Pay Ratio" w:id="70"/>
      <w:bookmarkEnd w:id="70"/>
      <w:r>
        <w:rPr>
          <w:b w:val="0"/>
        </w:rPr>
      </w:r>
      <w:bookmarkStart w:name="_bookmark31" w:id="71"/>
      <w:bookmarkEnd w:id="71"/>
      <w:r>
        <w:rPr>
          <w:b w:val="0"/>
        </w:rPr>
      </w:r>
      <w:r>
        <w:rPr>
          <w:color w:val="00539E"/>
        </w:rPr>
        <w:t>CEO</w:t>
      </w:r>
      <w:r>
        <w:rPr>
          <w:color w:val="00539E"/>
          <w:spacing w:val="-2"/>
        </w:rPr>
        <w:t> </w:t>
      </w:r>
      <w:r>
        <w:rPr>
          <w:color w:val="00539E"/>
        </w:rPr>
        <w:t>Pay</w:t>
      </w:r>
      <w:r>
        <w:rPr>
          <w:color w:val="00539E"/>
          <w:spacing w:val="-2"/>
        </w:rPr>
        <w:t> </w:t>
      </w:r>
      <w:r>
        <w:rPr>
          <w:color w:val="00539E"/>
        </w:rPr>
        <w:t>Ratio</w:t>
      </w:r>
    </w:p>
    <w:p>
      <w:pPr>
        <w:pStyle w:val="BodyText"/>
        <w:spacing w:line="249" w:lineRule="auto" w:before="221"/>
        <w:ind w:left="250" w:right="282"/>
      </w:pPr>
      <w:r>
        <w:rPr/>
        <w:t>We have estimated the ratio between our CEO's total compensation and the median annual total compensation for</w:t>
      </w:r>
      <w:r>
        <w:rPr>
          <w:spacing w:val="-53"/>
        </w:rPr>
        <w:t> </w:t>
      </w:r>
      <w:r>
        <w:rPr/>
        <w:t>all employees (except our CEO). For purposes of determining the pay ratio, we considered all active employees as</w:t>
      </w:r>
      <w:r>
        <w:rPr>
          <w:spacing w:val="-53"/>
        </w:rPr>
        <w:t> </w:t>
      </w:r>
      <w:r>
        <w:rPr/>
        <w:t>of</w:t>
      </w:r>
      <w:r>
        <w:rPr>
          <w:spacing w:val="-2"/>
        </w:rPr>
        <w:t> </w:t>
      </w:r>
      <w:r>
        <w:rPr/>
        <w:t>November</w:t>
      </w:r>
      <w:r>
        <w:rPr>
          <w:spacing w:val="-2"/>
        </w:rPr>
        <w:t> </w:t>
      </w:r>
      <w:r>
        <w:rPr/>
        <w:t>30,</w:t>
      </w:r>
      <w:r>
        <w:rPr>
          <w:spacing w:val="-1"/>
        </w:rPr>
        <w:t> </w:t>
      </w:r>
      <w:r>
        <w:rPr/>
        <w:t>2021,</w:t>
      </w:r>
      <w:r>
        <w:rPr>
          <w:spacing w:val="-2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full-time,</w:t>
      </w:r>
      <w:r>
        <w:rPr>
          <w:spacing w:val="-1"/>
        </w:rPr>
        <w:t> </w:t>
      </w:r>
      <w:r>
        <w:rPr/>
        <w:t>part-time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temporary</w:t>
      </w:r>
      <w:r>
        <w:rPr>
          <w:spacing w:val="-1"/>
        </w:rPr>
        <w:t> </w:t>
      </w:r>
      <w:r>
        <w:rPr/>
        <w:t>employees.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9" w:lineRule="auto"/>
        <w:ind w:left="250" w:right="376"/>
      </w:pPr>
      <w:r>
        <w:rPr>
          <w:spacing w:val="-1"/>
        </w:rPr>
        <w:t>For 2021, the median of the Annual Total Compensation of all employees of </w:t>
      </w:r>
      <w:r>
        <w:rPr/>
        <w:t>the Company (other than our CEO),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$30,514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Annual</w:t>
      </w:r>
      <w:r>
        <w:rPr>
          <w:spacing w:val="-5"/>
        </w:rPr>
        <w:t> </w:t>
      </w:r>
      <w:r>
        <w:rPr>
          <w:spacing w:val="-1"/>
        </w:rPr>
        <w:t>Total</w:t>
      </w:r>
      <w:r>
        <w:rPr>
          <w:spacing w:val="-2"/>
        </w:rPr>
        <w:t> </w:t>
      </w:r>
      <w:r>
        <w:rPr>
          <w:spacing w:val="-1"/>
        </w:rPr>
        <w:t>Compensation 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CEO</w:t>
      </w:r>
      <w:r>
        <w:rPr>
          <w:spacing w:val="-2"/>
        </w:rPr>
        <w:t> </w:t>
      </w:r>
      <w:r>
        <w:rPr>
          <w:spacing w:val="-1"/>
        </w:rPr>
        <w:t>for purposes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determining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CEO</w:t>
      </w:r>
      <w:r>
        <w:rPr>
          <w:spacing w:val="-2"/>
        </w:rPr>
        <w:t> </w:t>
      </w:r>
      <w:r>
        <w:rPr/>
        <w:t>Pay</w:t>
      </w:r>
      <w:r>
        <w:rPr>
          <w:spacing w:val="-2"/>
        </w:rPr>
        <w:t> </w:t>
      </w:r>
      <w:r>
        <w:rPr/>
        <w:t>Ratio</w:t>
      </w:r>
      <w:r>
        <w:rPr>
          <w:spacing w:val="-1"/>
        </w:rPr>
        <w:t> </w:t>
      </w:r>
      <w:r>
        <w:rPr/>
        <w:t>was</w:t>
      </w:r>
    </w:p>
    <w:p>
      <w:pPr>
        <w:pStyle w:val="BodyText"/>
        <w:spacing w:line="249" w:lineRule="auto" w:before="1"/>
        <w:ind w:left="250" w:right="282"/>
      </w:pPr>
      <w:r>
        <w:rPr>
          <w:spacing w:val="-1"/>
        </w:rPr>
        <w:t>$4,130,765, which amount includes </w:t>
      </w:r>
      <w:r>
        <w:rPr/>
        <w:t>the 2021 Award of 28,516 shares at an Award Date Fair Value of $63.78 per</w:t>
      </w:r>
      <w:r>
        <w:rPr>
          <w:spacing w:val="1"/>
        </w:rPr>
        <w:t> </w:t>
      </w:r>
      <w:r>
        <w:rPr>
          <w:spacing w:val="-1"/>
        </w:rPr>
        <w:t>share, as further described </w:t>
      </w:r>
      <w:r>
        <w:rPr/>
        <w:t>in the "Compensation Discussion &amp; Analysis" section of this Proxy Statement.</w:t>
      </w:r>
      <w:r>
        <w:rPr>
          <w:spacing w:val="1"/>
        </w:rPr>
        <w:t> </w:t>
      </w:r>
      <w:r>
        <w:rPr/>
        <w:t>Based on</w:t>
      </w:r>
      <w:r>
        <w:rPr>
          <w:spacing w:val="-53"/>
        </w:rPr>
        <w:t> </w:t>
      </w:r>
      <w:r>
        <w:rPr>
          <w:spacing w:val="-1"/>
        </w:rPr>
        <w:t>this information, for 2021, the ratio of the Annual Total Compensation of our CEO to the median of the Annual </w:t>
      </w:r>
      <w:r>
        <w:rPr/>
        <w:t>Total</w:t>
      </w:r>
      <w:r>
        <w:rPr>
          <w:spacing w:val="1"/>
        </w:rPr>
        <w:t> </w:t>
      </w:r>
      <w:r>
        <w:rPr/>
        <w:t>Compensation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all</w:t>
      </w:r>
      <w:r>
        <w:rPr>
          <w:spacing w:val="-1"/>
        </w:rPr>
        <w:t> </w:t>
      </w:r>
      <w:r>
        <w:rPr/>
        <w:t>employees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estimated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135:1.</w:t>
      </w:r>
    </w:p>
    <w:p>
      <w:pPr>
        <w:pStyle w:val="Heading2"/>
        <w:spacing w:line="249" w:lineRule="auto" w:before="195"/>
        <w:ind w:right="829"/>
      </w:pPr>
      <w:bookmarkStart w:name="Narrative Disclosure of our Compensation" w:id="72"/>
      <w:bookmarkEnd w:id="72"/>
      <w:r>
        <w:rPr>
          <w:b w:val="0"/>
        </w:rPr>
      </w:r>
      <w:bookmarkStart w:name="_bookmark32" w:id="73"/>
      <w:bookmarkEnd w:id="73"/>
      <w:r>
        <w:rPr>
          <w:b w:val="0"/>
        </w:rPr>
      </w:r>
      <w:r>
        <w:rPr>
          <w:color w:val="00539E"/>
        </w:rPr>
        <w:t>Narrative Disclosure of the Company's Compensation Policies and Practices as They</w:t>
      </w:r>
      <w:r>
        <w:rPr>
          <w:color w:val="00539E"/>
          <w:spacing w:val="-65"/>
        </w:rPr>
        <w:t> </w:t>
      </w:r>
      <w:r>
        <w:rPr>
          <w:color w:val="00539E"/>
        </w:rPr>
        <w:t>Relate</w:t>
      </w:r>
      <w:r>
        <w:rPr>
          <w:color w:val="00539E"/>
          <w:spacing w:val="-1"/>
        </w:rPr>
        <w:t> </w:t>
      </w:r>
      <w:r>
        <w:rPr>
          <w:color w:val="00539E"/>
        </w:rPr>
        <w:t>to Risk Management</w:t>
      </w:r>
    </w:p>
    <w:p>
      <w:pPr>
        <w:pStyle w:val="BodyText"/>
        <w:spacing w:line="249" w:lineRule="auto" w:before="211"/>
        <w:ind w:left="250" w:right="294"/>
      </w:pPr>
      <w:r>
        <w:rPr/>
        <w:t>The Compensation Committee has reviewed the Company's compensation policies and</w:t>
      </w:r>
      <w:r>
        <w:rPr>
          <w:spacing w:val="1"/>
        </w:rPr>
        <w:t> </w:t>
      </w:r>
      <w:r>
        <w:rPr/>
        <w:t>practices and believes it</w:t>
      </w:r>
      <w:r>
        <w:rPr>
          <w:spacing w:val="1"/>
        </w:rPr>
        <w:t> </w:t>
      </w:r>
      <w:r>
        <w:rPr/>
        <w:t>has taken reasonable and appropriate actions to mitigate the risk that the Company’s compensation policies and</w:t>
      </w:r>
      <w:r>
        <w:rPr>
          <w:spacing w:val="1"/>
        </w:rPr>
        <w:t> </w:t>
      </w:r>
      <w:r>
        <w:rPr/>
        <w:t>practices would lead to conduct that would have an unintended material adverse effect on the Company. The</w:t>
      </w:r>
      <w:r>
        <w:rPr>
          <w:spacing w:val="1"/>
        </w:rPr>
        <w:t> </w:t>
      </w:r>
      <w:r>
        <w:rPr/>
        <w:t>assessment included a review of the components of the NEOs compensation. For the Base Salary component, the</w:t>
      </w:r>
      <w:r>
        <w:rPr>
          <w:spacing w:val="1"/>
        </w:rPr>
        <w:t> </w:t>
      </w:r>
      <w:r>
        <w:rPr/>
        <w:t>Compensation Committee believes the following mitigates the incentive for risky behavior: (i) Base Salary is a</w:t>
      </w:r>
      <w:r>
        <w:rPr>
          <w:spacing w:val="1"/>
        </w:rPr>
        <w:t> </w:t>
      </w:r>
      <w:r>
        <w:rPr/>
        <w:t>relatively small portion of total compensation for the NEOs, and (ii) the NEOs and employees have signed the</w:t>
      </w:r>
      <w:r>
        <w:rPr>
          <w:spacing w:val="1"/>
        </w:rPr>
        <w:t> </w:t>
      </w:r>
      <w:r>
        <w:rPr/>
        <w:t>Company's Employee Handbook and Business and Ethics Policy agreeing to maintain the highest standards of</w:t>
      </w:r>
      <w:r>
        <w:rPr>
          <w:spacing w:val="1"/>
        </w:rPr>
        <w:t> </w:t>
      </w:r>
      <w:r>
        <w:rPr/>
        <w:t>personal and professional integrity at all times and to comply with the Company’s policies and procedures. For the</w:t>
      </w:r>
      <w:r>
        <w:rPr>
          <w:spacing w:val="1"/>
        </w:rPr>
        <w:t> </w:t>
      </w:r>
      <w:r>
        <w:rPr/>
        <w:t>performance-based Cash Bonus, the Compensation Committee believes the following mitigates the incentive for</w:t>
      </w:r>
      <w:r>
        <w:rPr>
          <w:spacing w:val="1"/>
        </w:rPr>
        <w:t> </w:t>
      </w:r>
      <w:r>
        <w:rPr/>
        <w:t>risky behavior: (i) the Cash Bonus targets are tied to near-term operational goals that the Compensation Committee</w:t>
      </w:r>
      <w:r>
        <w:rPr>
          <w:spacing w:val="-53"/>
        </w:rPr>
        <w:t> </w:t>
      </w:r>
      <w:r>
        <w:rPr/>
        <w:t>believes promote long-term growth of the Company and increased stockholder value and are not generally</w:t>
      </w:r>
      <w:r>
        <w:rPr>
          <w:spacing w:val="1"/>
        </w:rPr>
        <w:t> </w:t>
      </w:r>
      <w:r>
        <w:rPr/>
        <w:t>susceptible to accounting risk; and (ii) a portion of the Cash Bonus is payable at the discretion of the Compensation</w:t>
      </w:r>
      <w:r>
        <w:rPr>
          <w:spacing w:val="1"/>
        </w:rPr>
        <w:t> </w:t>
      </w:r>
      <w:r>
        <w:rPr/>
        <w:t>Committee.</w:t>
      </w:r>
      <w:r>
        <w:rPr>
          <w:spacing w:val="55"/>
        </w:rPr>
        <w:t> </w:t>
      </w:r>
      <w:r>
        <w:rPr/>
        <w:t>For the Equity Compensation component, the Compensation Committee believes the following</w:t>
      </w:r>
      <w:r>
        <w:rPr>
          <w:spacing w:val="1"/>
        </w:rPr>
        <w:t> </w:t>
      </w:r>
      <w:r>
        <w:rPr/>
        <w:t>mitigates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incentive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risky</w:t>
      </w:r>
      <w:r>
        <w:rPr>
          <w:spacing w:val="3"/>
        </w:rPr>
        <w:t> </w:t>
      </w:r>
      <w:r>
        <w:rPr/>
        <w:t>behavior:</w:t>
      </w:r>
      <w:r>
        <w:rPr>
          <w:spacing w:val="2"/>
        </w:rPr>
        <w:t> </w:t>
      </w:r>
      <w:r>
        <w:rPr/>
        <w:t>(i)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Board</w:t>
      </w:r>
      <w:r>
        <w:rPr>
          <w:spacing w:val="2"/>
        </w:rPr>
        <w:t> </w:t>
      </w:r>
      <w:r>
        <w:rPr/>
        <w:t>has</w:t>
      </w:r>
      <w:r>
        <w:rPr>
          <w:spacing w:val="3"/>
        </w:rPr>
        <w:t> </w:t>
      </w:r>
      <w:r>
        <w:rPr/>
        <w:t>previously</w:t>
      </w:r>
      <w:r>
        <w:rPr>
          <w:spacing w:val="3"/>
        </w:rPr>
        <w:t> </w:t>
      </w:r>
      <w:r>
        <w:rPr/>
        <w:t>established</w:t>
      </w:r>
      <w:r>
        <w:rPr>
          <w:spacing w:val="2"/>
        </w:rPr>
        <w:t> </w:t>
      </w:r>
      <w:r>
        <w:rPr/>
        <w:t>share</w:t>
      </w:r>
      <w:r>
        <w:rPr>
          <w:spacing w:val="3"/>
        </w:rPr>
        <w:t> </w:t>
      </w:r>
      <w:r>
        <w:rPr/>
        <w:t>ownership</w:t>
      </w:r>
      <w:r>
        <w:rPr>
          <w:spacing w:val="2"/>
        </w:rPr>
        <w:t> </w:t>
      </w:r>
      <w:r>
        <w:rPr/>
        <w:t>guidelines</w:t>
      </w:r>
      <w:r>
        <w:rPr>
          <w:spacing w:val="3"/>
        </w:rPr>
        <w:t> </w:t>
      </w:r>
      <w:r>
        <w:rPr/>
        <w:t>for</w:t>
      </w:r>
      <w:r>
        <w:rPr>
          <w:spacing w:val="1"/>
        </w:rPr>
        <w:t> </w:t>
      </w:r>
      <w:r>
        <w:rPr/>
        <w:t>the NEOs to align their interests with those of the stockholders; (ii) the grants and terms of restricted stock are</w:t>
      </w:r>
      <w:r>
        <w:rPr>
          <w:spacing w:val="1"/>
        </w:rPr>
        <w:t> </w:t>
      </w:r>
      <w:r>
        <w:rPr/>
        <w:t>established by the Committee; and (iii) the Committee granted restricted stock rather than options to limit the risky</w:t>
      </w:r>
      <w:r>
        <w:rPr>
          <w:spacing w:val="1"/>
        </w:rPr>
        <w:t> </w:t>
      </w:r>
      <w:r>
        <w:rPr/>
        <w:t>behavior associated with trying to maximize stock price.</w:t>
      </w:r>
      <w:r>
        <w:rPr>
          <w:spacing w:val="1"/>
        </w:rPr>
        <w:t> </w:t>
      </w:r>
      <w:r>
        <w:rPr/>
        <w:t>In addition, there are no formulaic compensation</w:t>
      </w:r>
      <w:r>
        <w:rPr>
          <w:spacing w:val="1"/>
        </w:rPr>
        <w:t> </w:t>
      </w:r>
      <w:r>
        <w:rPr/>
        <w:t>arrangements that could create unintended compensation and the Compensation Committee has the ability to</w:t>
      </w:r>
      <w:r>
        <w:rPr>
          <w:spacing w:val="1"/>
        </w:rPr>
        <w:t> </w:t>
      </w:r>
      <w:r>
        <w:rPr/>
        <w:t>exercise discretion over all pay; the CEO meets regularly with the Compensation Committee and quarterly with the</w:t>
      </w:r>
      <w:r>
        <w:rPr>
          <w:spacing w:val="1"/>
        </w:rPr>
        <w:t> </w:t>
      </w:r>
      <w:r>
        <w:rPr>
          <w:spacing w:val="-1"/>
        </w:rPr>
        <w:t>Compensation </w:t>
      </w:r>
      <w:r>
        <w:rPr/>
        <w:t>Committee, Executive Committee, Strategic Planning and Audit Committee chairpersons; the</w:t>
      </w:r>
      <w:r>
        <w:rPr>
          <w:spacing w:val="1"/>
        </w:rPr>
        <w:t> </w:t>
      </w:r>
      <w:r>
        <w:rPr>
          <w:spacing w:val="-1"/>
        </w:rPr>
        <w:t>Company's </w:t>
      </w:r>
      <w:r>
        <w:rPr/>
        <w:t>Internal Audit department performs property and other corporate audits to ensure compliance with</w:t>
      </w:r>
      <w:r>
        <w:rPr>
          <w:spacing w:val="1"/>
        </w:rPr>
        <w:t> </w:t>
      </w:r>
      <w:r>
        <w:rPr/>
        <w:t>policies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procedures;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Company</w:t>
      </w:r>
      <w:r>
        <w:rPr>
          <w:spacing w:val="3"/>
        </w:rPr>
        <w:t> </w:t>
      </w:r>
      <w:r>
        <w:rPr/>
        <w:t>maintains</w:t>
      </w:r>
      <w:r>
        <w:rPr>
          <w:spacing w:val="3"/>
        </w:rPr>
        <w:t> </w:t>
      </w:r>
      <w:r>
        <w:rPr/>
        <w:t>a</w:t>
      </w:r>
      <w:r>
        <w:rPr>
          <w:spacing w:val="3"/>
        </w:rPr>
        <w:t> </w:t>
      </w:r>
      <w:r>
        <w:rPr/>
        <w:t>whistleblower</w:t>
      </w:r>
      <w:r>
        <w:rPr>
          <w:spacing w:val="3"/>
        </w:rPr>
        <w:t> </w:t>
      </w:r>
      <w:r>
        <w:rPr/>
        <w:t>hotline;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quarterly</w:t>
      </w:r>
      <w:r>
        <w:rPr>
          <w:spacing w:val="3"/>
        </w:rPr>
        <w:t> </w:t>
      </w:r>
      <w:r>
        <w:rPr/>
        <w:t>disclosure</w:t>
      </w:r>
      <w:r>
        <w:rPr>
          <w:spacing w:val="3"/>
        </w:rPr>
        <w:t> </w:t>
      </w:r>
      <w:r>
        <w:rPr/>
        <w:t>meetings</w:t>
      </w:r>
      <w:r>
        <w:rPr>
          <w:spacing w:val="3"/>
        </w:rPr>
        <w:t> </w:t>
      </w:r>
      <w:r>
        <w:rPr/>
        <w:t>are</w:t>
      </w:r>
      <w:r>
        <w:rPr>
          <w:spacing w:val="1"/>
        </w:rPr>
        <w:t> </w:t>
      </w:r>
      <w:r>
        <w:rPr/>
        <w:t>held with the Executive Officers and senior management for the purpose of allowing full disclosure of information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may</w:t>
      </w:r>
      <w:r>
        <w:rPr>
          <w:spacing w:val="-1"/>
        </w:rPr>
        <w:t> </w:t>
      </w:r>
      <w:r>
        <w:rPr/>
        <w:t>impact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statements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related</w:t>
      </w:r>
      <w:r>
        <w:rPr>
          <w:spacing w:val="-2"/>
        </w:rPr>
        <w:t> </w:t>
      </w:r>
      <w:r>
        <w:rPr/>
        <w:t>disclosures.</w:t>
      </w:r>
    </w:p>
    <w:p>
      <w:pPr>
        <w:pStyle w:val="BodyText"/>
        <w:spacing w:before="4"/>
        <w:rPr>
          <w:sz w:val="18"/>
        </w:rPr>
      </w:pPr>
    </w:p>
    <w:p>
      <w:pPr>
        <w:pStyle w:val="Heading1"/>
        <w:spacing w:before="0"/>
        <w:ind w:left="1055" w:right="0"/>
        <w:jc w:val="left"/>
      </w:pPr>
      <w:bookmarkStart w:name="Compensation Committee Interlocks and In" w:id="74"/>
      <w:bookmarkEnd w:id="74"/>
      <w:r>
        <w:rPr>
          <w:b w:val="0"/>
        </w:rPr>
      </w:r>
      <w:bookmarkStart w:name="_bookmark33" w:id="75"/>
      <w:bookmarkEnd w:id="75"/>
      <w:r>
        <w:rPr>
          <w:b w:val="0"/>
        </w:rPr>
      </w:r>
      <w:r>
        <w:rPr>
          <w:color w:val="00539E"/>
        </w:rPr>
        <w:t>COMPENSATION</w:t>
      </w:r>
      <w:r>
        <w:rPr>
          <w:color w:val="00539E"/>
          <w:spacing w:val="-4"/>
        </w:rPr>
        <w:t> </w:t>
      </w:r>
      <w:r>
        <w:rPr>
          <w:color w:val="00539E"/>
        </w:rPr>
        <w:t>COMMITTEE</w:t>
      </w:r>
      <w:r>
        <w:rPr>
          <w:color w:val="00539E"/>
          <w:spacing w:val="-3"/>
        </w:rPr>
        <w:t> </w:t>
      </w:r>
      <w:r>
        <w:rPr>
          <w:color w:val="00539E"/>
        </w:rPr>
        <w:t>INTERLOCKS</w:t>
      </w:r>
      <w:r>
        <w:rPr>
          <w:color w:val="00539E"/>
          <w:spacing w:val="-3"/>
        </w:rPr>
        <w:t> </w:t>
      </w:r>
      <w:r>
        <w:rPr>
          <w:color w:val="00539E"/>
        </w:rPr>
        <w:t>AND</w:t>
      </w:r>
      <w:r>
        <w:rPr>
          <w:color w:val="00539E"/>
          <w:spacing w:val="-3"/>
        </w:rPr>
        <w:t> </w:t>
      </w:r>
      <w:r>
        <w:rPr>
          <w:color w:val="00539E"/>
        </w:rPr>
        <w:t>INSIDER</w:t>
      </w:r>
      <w:r>
        <w:rPr>
          <w:color w:val="00539E"/>
          <w:spacing w:val="-3"/>
        </w:rPr>
        <w:t> </w:t>
      </w:r>
      <w:r>
        <w:rPr>
          <w:color w:val="00539E"/>
        </w:rPr>
        <w:t>PARTICIPATION</w:t>
      </w:r>
    </w:p>
    <w:p>
      <w:pPr>
        <w:pStyle w:val="BodyText"/>
        <w:spacing w:line="249" w:lineRule="auto" w:before="220"/>
        <w:ind w:left="250" w:right="282"/>
      </w:pPr>
      <w:r>
        <w:rPr/>
        <w:t>The Compensation Committee members for the year ended December 31, 2021 were Mr. Calian, Mr. Contis, Ms.</w:t>
      </w:r>
      <w:r>
        <w:rPr>
          <w:spacing w:val="1"/>
        </w:rPr>
        <w:t> </w:t>
      </w:r>
      <w:r>
        <w:rPr/>
        <w:t>Freedman and Ms. Rosenberg. None of the members has ever been an officer or employee of the Company or any</w:t>
      </w:r>
      <w:r>
        <w:rPr>
          <w:spacing w:val="-53"/>
        </w:rPr>
        <w:t> </w:t>
      </w:r>
      <w:r>
        <w:rPr/>
        <w:t>of its subsidiaries, and no "compensation committee interlocks" existed during 2021. For a description of certain</w:t>
      </w:r>
      <w:r>
        <w:rPr>
          <w:spacing w:val="1"/>
        </w:rPr>
        <w:t> </w:t>
      </w:r>
      <w:r>
        <w:rPr/>
        <w:t>transactions with Directors or their affiliates, see "Certain Relationships and Related Transactions" of this Proxy</w:t>
      </w:r>
      <w:r>
        <w:rPr>
          <w:spacing w:val="1"/>
        </w:rPr>
        <w:t> </w:t>
      </w:r>
      <w:r>
        <w:rPr/>
        <w:t>Statement.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Heading1"/>
      </w:pPr>
      <w:bookmarkStart w:name="Proposal No. 3 – Non-Binding Advisory Vo" w:id="76"/>
      <w:bookmarkEnd w:id="76"/>
      <w:r>
        <w:rPr>
          <w:b w:val="0"/>
        </w:rPr>
      </w:r>
      <w:bookmarkStart w:name="_bookmark34" w:id="77"/>
      <w:bookmarkEnd w:id="77"/>
      <w:r>
        <w:rPr>
          <w:b w:val="0"/>
        </w:rPr>
      </w:r>
      <w:r>
        <w:rPr>
          <w:color w:val="00539E"/>
        </w:rPr>
        <w:t>PROPOSAL</w:t>
      </w:r>
      <w:r>
        <w:rPr>
          <w:color w:val="00539E"/>
          <w:spacing w:val="-2"/>
        </w:rPr>
        <w:t> </w:t>
      </w:r>
      <w:r>
        <w:rPr>
          <w:color w:val="00539E"/>
        </w:rPr>
        <w:t>NO.</w:t>
      </w:r>
      <w:r>
        <w:rPr>
          <w:color w:val="00539E"/>
          <w:spacing w:val="-1"/>
        </w:rPr>
        <w:t> </w:t>
      </w:r>
      <w:r>
        <w:rPr>
          <w:color w:val="00539E"/>
        </w:rPr>
        <w:t>3</w:t>
      </w:r>
    </w:p>
    <w:p>
      <w:pPr>
        <w:spacing w:before="12"/>
        <w:ind w:left="65" w:right="98" w:firstLine="0"/>
        <w:jc w:val="center"/>
        <w:rPr>
          <w:b/>
          <w:sz w:val="24"/>
        </w:rPr>
      </w:pPr>
      <w:r>
        <w:rPr>
          <w:b/>
          <w:color w:val="00539E"/>
          <w:sz w:val="24"/>
        </w:rPr>
        <w:t>NON-BINDING,</w:t>
      </w:r>
      <w:r>
        <w:rPr>
          <w:b/>
          <w:color w:val="00539E"/>
          <w:spacing w:val="-3"/>
          <w:sz w:val="24"/>
        </w:rPr>
        <w:t> </w:t>
      </w:r>
      <w:r>
        <w:rPr>
          <w:b/>
          <w:color w:val="00539E"/>
          <w:sz w:val="24"/>
        </w:rPr>
        <w:t>ADVISORY</w:t>
      </w:r>
      <w:r>
        <w:rPr>
          <w:b/>
          <w:color w:val="00539E"/>
          <w:spacing w:val="-2"/>
          <w:sz w:val="24"/>
        </w:rPr>
        <w:t> </w:t>
      </w:r>
      <w:r>
        <w:rPr>
          <w:b/>
          <w:color w:val="00539E"/>
          <w:sz w:val="24"/>
        </w:rPr>
        <w:t>VOTE</w:t>
      </w:r>
      <w:r>
        <w:rPr>
          <w:b/>
          <w:color w:val="00539E"/>
          <w:spacing w:val="-2"/>
          <w:sz w:val="24"/>
        </w:rPr>
        <w:t> </w:t>
      </w:r>
      <w:r>
        <w:rPr>
          <w:b/>
          <w:color w:val="00539E"/>
          <w:sz w:val="24"/>
        </w:rPr>
        <w:t>ON</w:t>
      </w:r>
      <w:r>
        <w:rPr>
          <w:b/>
          <w:color w:val="00539E"/>
          <w:spacing w:val="-3"/>
          <w:sz w:val="24"/>
        </w:rPr>
        <w:t> </w:t>
      </w:r>
      <w:r>
        <w:rPr>
          <w:b/>
          <w:color w:val="00539E"/>
          <w:sz w:val="24"/>
        </w:rPr>
        <w:t>EXECUTIVE</w:t>
      </w:r>
      <w:r>
        <w:rPr>
          <w:b/>
          <w:color w:val="00539E"/>
          <w:spacing w:val="-2"/>
          <w:sz w:val="24"/>
        </w:rPr>
        <w:t> </w:t>
      </w:r>
      <w:r>
        <w:rPr>
          <w:b/>
          <w:color w:val="00539E"/>
          <w:sz w:val="24"/>
        </w:rPr>
        <w:t>COMPENSATION</w:t>
      </w:r>
    </w:p>
    <w:p>
      <w:pPr>
        <w:pStyle w:val="BodyText"/>
        <w:spacing w:line="249" w:lineRule="auto" w:before="221"/>
        <w:ind w:left="250" w:right="374"/>
        <w:jc w:val="both"/>
      </w:pPr>
      <w:r>
        <w:rPr>
          <w:spacing w:val="-1"/>
        </w:rPr>
        <w:t>Section 14A of the Exchange Act requires the Company </w:t>
      </w:r>
      <w:r>
        <w:rPr/>
        <w:t>to allow stockholders an opportunity to cast a non-binding,</w:t>
      </w:r>
      <w:r>
        <w:rPr>
          <w:spacing w:val="1"/>
        </w:rPr>
        <w:t> </w:t>
      </w:r>
      <w:r>
        <w:rPr/>
        <w:t>advisory vote on executive compensation as disclosed in this Proxy Statement. The following proposal, commonly</w:t>
      </w:r>
      <w:r>
        <w:rPr>
          <w:spacing w:val="1"/>
        </w:rPr>
        <w:t> </w:t>
      </w:r>
      <w:r>
        <w:rPr/>
        <w:t>known</w:t>
      </w:r>
      <w:r>
        <w:rPr>
          <w:spacing w:val="-5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"Say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Pay"</w:t>
      </w:r>
      <w:r>
        <w:rPr>
          <w:spacing w:val="-4"/>
        </w:rPr>
        <w:t> </w:t>
      </w:r>
      <w:r>
        <w:rPr/>
        <w:t>proposal,</w:t>
      </w:r>
      <w:r>
        <w:rPr>
          <w:spacing w:val="-5"/>
        </w:rPr>
        <w:t> </w:t>
      </w:r>
      <w:r>
        <w:rPr/>
        <w:t>gives</w:t>
      </w:r>
      <w:r>
        <w:rPr>
          <w:spacing w:val="-4"/>
        </w:rPr>
        <w:t> </w:t>
      </w:r>
      <w:r>
        <w:rPr/>
        <w:t>stockholders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opportunity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approve,</w:t>
      </w:r>
      <w:r>
        <w:rPr>
          <w:spacing w:val="-4"/>
        </w:rPr>
        <w:t> </w:t>
      </w:r>
      <w:r>
        <w:rPr/>
        <w:t>reject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abstain</w:t>
      </w:r>
      <w:r>
        <w:rPr>
          <w:spacing w:val="-4"/>
        </w:rPr>
        <w:t> </w:t>
      </w:r>
      <w:r>
        <w:rPr/>
        <w:t>from</w:t>
      </w:r>
      <w:r>
        <w:rPr>
          <w:spacing w:val="-4"/>
        </w:rPr>
        <w:t> </w:t>
      </w:r>
      <w:r>
        <w:rPr/>
        <w:t>voting</w:t>
      </w:r>
      <w:r>
        <w:rPr>
          <w:spacing w:val="-4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 to the Company's fiscal 2021 executive compensation programs and policies and the compensation paid to</w:t>
      </w:r>
      <w:r>
        <w:rPr>
          <w:spacing w:val="-53"/>
        </w:rPr>
        <w:t> </w:t>
      </w:r>
      <w:r>
        <w:rPr/>
        <w:t>the</w:t>
      </w:r>
      <w:r>
        <w:rPr>
          <w:spacing w:val="-2"/>
        </w:rPr>
        <w:t> </w:t>
      </w:r>
      <w:r>
        <w:rPr/>
        <w:t>named</w:t>
      </w:r>
      <w:r>
        <w:rPr>
          <w:spacing w:val="-1"/>
        </w:rPr>
        <w:t> </w:t>
      </w:r>
      <w:r>
        <w:rPr/>
        <w:t>executive</w:t>
      </w:r>
      <w:r>
        <w:rPr>
          <w:spacing w:val="-1"/>
        </w:rPr>
        <w:t> </w:t>
      </w:r>
      <w:r>
        <w:rPr/>
        <w:t>officers.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/>
        <w:ind w:left="250"/>
      </w:pPr>
      <w:r>
        <w:rPr/>
        <w:t>"RESOLVED,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compensation</w:t>
      </w:r>
      <w:r>
        <w:rPr>
          <w:spacing w:val="-6"/>
        </w:rPr>
        <w:t> </w:t>
      </w:r>
      <w:r>
        <w:rPr/>
        <w:t>paid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Company’s</w:t>
      </w:r>
      <w:r>
        <w:rPr>
          <w:spacing w:val="-6"/>
        </w:rPr>
        <w:t> </w:t>
      </w:r>
      <w:r>
        <w:rPr/>
        <w:t>named</w:t>
      </w:r>
      <w:r>
        <w:rPr>
          <w:spacing w:val="-6"/>
        </w:rPr>
        <w:t> </w:t>
      </w:r>
      <w:r>
        <w:rPr/>
        <w:t>executive</w:t>
      </w:r>
      <w:r>
        <w:rPr>
          <w:spacing w:val="-6"/>
        </w:rPr>
        <w:t> </w:t>
      </w:r>
      <w:r>
        <w:rPr/>
        <w:t>officers,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disclosed</w:t>
      </w:r>
      <w:r>
        <w:rPr>
          <w:spacing w:val="-6"/>
        </w:rPr>
        <w:t> </w:t>
      </w:r>
      <w:r>
        <w:rPr/>
        <w:t>pursuant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SEC's rules and regulations, </w:t>
      </w:r>
      <w:r>
        <w:rPr/>
        <w:t>including the Compensation Discussion and Analysis, the compensation tables and</w:t>
      </w:r>
      <w:r>
        <w:rPr>
          <w:spacing w:val="1"/>
        </w:rPr>
        <w:t> </w:t>
      </w:r>
      <w:r>
        <w:rPr/>
        <w:t>narrative</w:t>
      </w:r>
      <w:r>
        <w:rPr>
          <w:spacing w:val="-2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is,</w:t>
      </w:r>
      <w:r>
        <w:rPr>
          <w:spacing w:val="-1"/>
        </w:rPr>
        <w:t> </w:t>
      </w:r>
      <w:r>
        <w:rPr/>
        <w:t>hereby</w:t>
      </w:r>
      <w:r>
        <w:rPr>
          <w:spacing w:val="-2"/>
        </w:rPr>
        <w:t> </w:t>
      </w:r>
      <w:r>
        <w:rPr/>
        <w:t>approved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non-binding</w:t>
      </w:r>
      <w:r>
        <w:rPr>
          <w:spacing w:val="-2"/>
        </w:rPr>
        <w:t> </w:t>
      </w:r>
      <w:r>
        <w:rPr/>
        <w:t>advisory</w:t>
      </w:r>
      <w:r>
        <w:rPr>
          <w:spacing w:val="-1"/>
        </w:rPr>
        <w:t> </w:t>
      </w:r>
      <w:r>
        <w:rPr/>
        <w:t>basis."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9" w:lineRule="auto"/>
        <w:ind w:left="250" w:right="608"/>
      </w:pPr>
      <w:r>
        <w:rPr/>
        <w:t>As discussed in the "Compensation Discussion and Analysis" section of this Proxy Statement, the primary</w:t>
      </w:r>
      <w:r>
        <w:rPr>
          <w:spacing w:val="1"/>
        </w:rPr>
        <w:t> </w:t>
      </w:r>
      <w:r>
        <w:rPr/>
        <w:t>objectives of our executive compensation program are to attract and retain qualified executive officers who are</w:t>
      </w:r>
      <w:r>
        <w:rPr>
          <w:spacing w:val="1"/>
        </w:rPr>
        <w:t> </w:t>
      </w:r>
      <w:r>
        <w:rPr/>
        <w:t>accountable for the performance of the Company and to promote an ownership mentality among our Executive</w:t>
      </w:r>
      <w:r>
        <w:rPr>
          <w:spacing w:val="1"/>
        </w:rPr>
        <w:t> </w:t>
      </w:r>
      <w:r>
        <w:rPr/>
        <w:t>Officers. The compensation of our Executive Officers reflects the success of our management team in attaining</w:t>
      </w:r>
      <w:r>
        <w:rPr>
          <w:spacing w:val="-53"/>
        </w:rPr>
        <w:t> </w:t>
      </w:r>
      <w:r>
        <w:rPr/>
        <w:t>certain operational goals which leads to the success of the Company and serves the best interests of our</w:t>
      </w:r>
      <w:r>
        <w:rPr>
          <w:spacing w:val="1"/>
        </w:rPr>
        <w:t> </w:t>
      </w:r>
      <w:r>
        <w:rPr/>
        <w:t>stockholders.</w:t>
      </w:r>
    </w:p>
    <w:p>
      <w:pPr>
        <w:pStyle w:val="BodyText"/>
        <w:spacing w:before="10"/>
        <w:rPr>
          <w:sz w:val="17"/>
        </w:rPr>
      </w:pPr>
    </w:p>
    <w:p>
      <w:pPr>
        <w:pStyle w:val="BodyText"/>
        <w:spacing w:line="249" w:lineRule="auto"/>
        <w:ind w:left="250" w:right="376"/>
      </w:pPr>
      <w:r>
        <w:rPr/>
        <w:t>This proposal allows our stockholders to express their opinions regarding the decisions of the Compensation</w:t>
      </w:r>
      <w:r>
        <w:rPr>
          <w:spacing w:val="1"/>
        </w:rPr>
        <w:t> </w:t>
      </w:r>
      <w:r>
        <w:rPr/>
        <w:t>Committee on the prior year's annual compensation to the named executive officers. Your non-binding, advisory</w:t>
      </w:r>
      <w:r>
        <w:rPr>
          <w:spacing w:val="1"/>
        </w:rPr>
        <w:t> </w:t>
      </w:r>
      <w:r>
        <w:rPr/>
        <w:t>vote</w:t>
      </w:r>
      <w:r>
        <w:rPr>
          <w:spacing w:val="-5"/>
        </w:rPr>
        <w:t> </w:t>
      </w:r>
      <w:r>
        <w:rPr/>
        <w:t>will</w:t>
      </w:r>
      <w:r>
        <w:rPr>
          <w:spacing w:val="-4"/>
        </w:rPr>
        <w:t> </w:t>
      </w:r>
      <w:r>
        <w:rPr/>
        <w:t>serve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an</w:t>
      </w:r>
      <w:r>
        <w:rPr>
          <w:spacing w:val="-4"/>
        </w:rPr>
        <w:t> </w:t>
      </w:r>
      <w:r>
        <w:rPr/>
        <w:t>additional</w:t>
      </w:r>
      <w:r>
        <w:rPr>
          <w:spacing w:val="-5"/>
        </w:rPr>
        <w:t> </w:t>
      </w:r>
      <w:r>
        <w:rPr/>
        <w:t>tool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guide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Compensation</w:t>
      </w:r>
      <w:r>
        <w:rPr>
          <w:spacing w:val="-4"/>
        </w:rPr>
        <w:t> </w:t>
      </w:r>
      <w:r>
        <w:rPr/>
        <w:t>Committee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continuing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 alignment of the Company's executive compensation programs with the interests of the Company and its</w:t>
      </w:r>
      <w:r>
        <w:rPr>
          <w:spacing w:val="1"/>
        </w:rPr>
        <w:t> </w:t>
      </w:r>
      <w:r>
        <w:rPr/>
        <w:t>stockholders,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consistent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our</w:t>
      </w:r>
      <w:r>
        <w:rPr>
          <w:spacing w:val="-3"/>
        </w:rPr>
        <w:t> </w:t>
      </w:r>
      <w:r>
        <w:rPr/>
        <w:t>commitment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high</w:t>
      </w:r>
      <w:r>
        <w:rPr>
          <w:spacing w:val="-2"/>
        </w:rPr>
        <w:t> </w:t>
      </w:r>
      <w:r>
        <w:rPr/>
        <w:t>standards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corporate</w:t>
      </w:r>
      <w:r>
        <w:rPr>
          <w:spacing w:val="-2"/>
        </w:rPr>
        <w:t> </w:t>
      </w:r>
      <w:r>
        <w:rPr/>
        <w:t>governance.</w:t>
      </w:r>
    </w:p>
    <w:p>
      <w:pPr>
        <w:pStyle w:val="BodyText"/>
        <w:spacing w:before="4"/>
        <w:rPr>
          <w:sz w:val="17"/>
        </w:rPr>
      </w:pPr>
    </w:p>
    <w:p>
      <w:pPr>
        <w:pStyle w:val="Heading3"/>
      </w:pPr>
      <w:r>
        <w:rPr>
          <w:color w:val="00539E"/>
        </w:rPr>
        <w:t>Vote</w:t>
      </w:r>
      <w:r>
        <w:rPr>
          <w:color w:val="00539E"/>
          <w:spacing w:val="-4"/>
        </w:rPr>
        <w:t> </w:t>
      </w:r>
      <w:r>
        <w:rPr>
          <w:color w:val="00539E"/>
        </w:rPr>
        <w:t>Required</w:t>
      </w:r>
    </w:p>
    <w:p>
      <w:pPr>
        <w:pStyle w:val="BodyText"/>
        <w:spacing w:line="249" w:lineRule="auto" w:before="215"/>
        <w:ind w:left="250" w:right="321"/>
      </w:pPr>
      <w:r>
        <w:rPr/>
        <w:t>Non-binding, advisory approval of this Say on Pay Proposal requires the affirmative vote of a majority of the votes</w:t>
      </w:r>
      <w:r>
        <w:rPr>
          <w:spacing w:val="1"/>
        </w:rPr>
        <w:t> </w:t>
      </w:r>
      <w:r>
        <w:rPr/>
        <w:t>cast by stockholders of record. Because the vote on this proposal is non-binding and advisory in nature, it will not</w:t>
      </w:r>
      <w:r>
        <w:rPr>
          <w:spacing w:val="1"/>
        </w:rPr>
        <w:t> </w:t>
      </w:r>
      <w:r>
        <w:rPr/>
        <w:t>affect any compensation already paid or awarded to any NEO and will not be binding on or overrule any decisions</w:t>
      </w:r>
      <w:r>
        <w:rPr>
          <w:spacing w:val="1"/>
        </w:rPr>
        <w:t> </w:t>
      </w:r>
      <w:r>
        <w:rPr/>
        <w:t>by the Board; it will not create or imply any additional duty on the part of the Board, and it will not restrict or limit the</w:t>
      </w:r>
      <w:r>
        <w:rPr>
          <w:spacing w:val="1"/>
        </w:rPr>
        <w:t> </w:t>
      </w:r>
      <w:r>
        <w:rPr/>
        <w:t>ability of stockholders to make proposals for inclusion in proxy materials related to executive compensation. To the</w:t>
      </w:r>
      <w:r>
        <w:rPr>
          <w:spacing w:val="1"/>
        </w:rPr>
        <w:t> </w:t>
      </w:r>
      <w:r>
        <w:rPr/>
        <w:t>extent there is any significant vote against our named executive officer compensation as disclosed in this Proxy</w:t>
      </w:r>
      <w:r>
        <w:rPr>
          <w:spacing w:val="1"/>
        </w:rPr>
        <w:t> </w:t>
      </w:r>
      <w:r>
        <w:rPr/>
        <w:t>Statement, the Compensation Committee will evaluate whether any actions are necessary to address the concerns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stockholders.</w:t>
      </w:r>
      <w:r>
        <w:rPr>
          <w:spacing w:val="51"/>
        </w:rPr>
        <w:t> </w:t>
      </w:r>
      <w:r>
        <w:rPr/>
        <w:t>The</w:t>
      </w:r>
      <w:r>
        <w:rPr>
          <w:spacing w:val="1"/>
        </w:rPr>
        <w:t> </w:t>
      </w:r>
      <w:r>
        <w:rPr/>
        <w:t>vote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not</w:t>
      </w:r>
      <w:r>
        <w:rPr>
          <w:spacing w:val="1"/>
        </w:rPr>
        <w:t> </w:t>
      </w:r>
      <w:r>
        <w:rPr/>
        <w:t>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any</w:t>
      </w:r>
      <w:r>
        <w:rPr>
          <w:spacing w:val="2"/>
        </w:rPr>
        <w:t> </w:t>
      </w:r>
      <w:r>
        <w:rPr/>
        <w:t>specific</w:t>
      </w:r>
      <w:r>
        <w:rPr>
          <w:spacing w:val="1"/>
        </w:rPr>
        <w:t> </w:t>
      </w:r>
      <w:r>
        <w:rPr/>
        <w:t>element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compensation;</w:t>
      </w:r>
      <w:r>
        <w:rPr>
          <w:spacing w:val="1"/>
        </w:rPr>
        <w:t> </w:t>
      </w:r>
      <w:r>
        <w:rPr/>
        <w:t>rather,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vote</w:t>
      </w:r>
      <w:r>
        <w:rPr>
          <w:spacing w:val="-5"/>
        </w:rPr>
        <w:t> </w:t>
      </w:r>
      <w:r>
        <w:rPr/>
        <w:t>relates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compensation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named</w:t>
      </w:r>
      <w:r>
        <w:rPr>
          <w:spacing w:val="-5"/>
        </w:rPr>
        <w:t> </w:t>
      </w:r>
      <w:r>
        <w:rPr/>
        <w:t>executive</w:t>
      </w:r>
      <w:r>
        <w:rPr>
          <w:spacing w:val="-5"/>
        </w:rPr>
        <w:t> </w:t>
      </w:r>
      <w:r>
        <w:rPr/>
        <w:t>officers,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described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Proxy</w:t>
      </w:r>
      <w:r>
        <w:rPr>
          <w:spacing w:val="-5"/>
        </w:rPr>
        <w:t> </w:t>
      </w:r>
      <w:r>
        <w:rPr/>
        <w:t>Statement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compensation</w:t>
      </w:r>
      <w:r>
        <w:rPr>
          <w:spacing w:val="-1"/>
        </w:rPr>
        <w:t> </w:t>
      </w:r>
      <w:r>
        <w:rPr/>
        <w:t>disclosure</w:t>
      </w:r>
      <w:r>
        <w:rPr>
          <w:spacing w:val="-1"/>
        </w:rPr>
        <w:t> </w:t>
      </w:r>
      <w:r>
        <w:rPr/>
        <w:t>rules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SEC.</w:t>
      </w:r>
    </w:p>
    <w:p>
      <w:pPr>
        <w:pStyle w:val="BodyText"/>
        <w:spacing w:before="9"/>
        <w:rPr>
          <w:sz w:val="17"/>
        </w:rPr>
      </w:pPr>
    </w:p>
    <w:p>
      <w:pPr>
        <w:pStyle w:val="Heading3"/>
      </w:pPr>
      <w:r>
        <w:rPr>
          <w:color w:val="00539E"/>
        </w:rPr>
        <w:t>Board</w:t>
      </w:r>
      <w:r>
        <w:rPr>
          <w:color w:val="00539E"/>
          <w:spacing w:val="-7"/>
        </w:rPr>
        <w:t> </w:t>
      </w:r>
      <w:r>
        <w:rPr>
          <w:color w:val="00539E"/>
        </w:rPr>
        <w:t>of</w:t>
      </w:r>
      <w:r>
        <w:rPr>
          <w:color w:val="00539E"/>
          <w:spacing w:val="-5"/>
        </w:rPr>
        <w:t> </w:t>
      </w:r>
      <w:r>
        <w:rPr>
          <w:color w:val="00539E"/>
        </w:rPr>
        <w:t>Directors</w:t>
      </w:r>
      <w:r>
        <w:rPr>
          <w:color w:val="00539E"/>
          <w:spacing w:val="-5"/>
        </w:rPr>
        <w:t> </w:t>
      </w:r>
      <w:r>
        <w:rPr>
          <w:color w:val="00539E"/>
        </w:rPr>
        <w:t>Recommendation</w:t>
      </w:r>
    </w:p>
    <w:p>
      <w:pPr>
        <w:spacing w:line="249" w:lineRule="auto" w:before="215"/>
        <w:ind w:left="250" w:right="282" w:firstLine="0"/>
        <w:jc w:val="left"/>
        <w:rPr>
          <w:b/>
          <w:sz w:val="20"/>
        </w:rPr>
      </w:pPr>
      <w:r>
        <w:rPr>
          <w:b/>
          <w:sz w:val="20"/>
        </w:rPr>
        <w:t>The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Board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unanimously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recommends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vote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"FOR"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approval,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on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non-binding,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advisory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basis,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executive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compensation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our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named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executive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officers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as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disclosed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this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Proxy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Statement.</w:t>
      </w:r>
    </w:p>
    <w:p>
      <w:pPr>
        <w:spacing w:after="0" w:line="249" w:lineRule="auto"/>
        <w:jc w:val="left"/>
        <w:rPr>
          <w:sz w:val="20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Heading1"/>
        <w:ind w:left="65" w:right="98"/>
      </w:pPr>
      <w:bookmarkStart w:name="Security Ownership of Certain Beneficial" w:id="78"/>
      <w:bookmarkEnd w:id="78"/>
      <w:r>
        <w:rPr>
          <w:b w:val="0"/>
        </w:rPr>
      </w:r>
      <w:bookmarkStart w:name="_bookmark35" w:id="79"/>
      <w:bookmarkEnd w:id="79"/>
      <w:r>
        <w:rPr>
          <w:b w:val="0"/>
        </w:rPr>
      </w:r>
      <w:r>
        <w:rPr>
          <w:color w:val="00539E"/>
        </w:rPr>
        <w:t>SECURITY</w:t>
      </w:r>
      <w:r>
        <w:rPr>
          <w:color w:val="00539E"/>
          <w:spacing w:val="-3"/>
        </w:rPr>
        <w:t> </w:t>
      </w:r>
      <w:r>
        <w:rPr>
          <w:color w:val="00539E"/>
        </w:rPr>
        <w:t>OWNERSHIP</w:t>
      </w:r>
      <w:r>
        <w:rPr>
          <w:color w:val="00539E"/>
          <w:spacing w:val="-3"/>
        </w:rPr>
        <w:t> </w:t>
      </w:r>
      <w:r>
        <w:rPr>
          <w:color w:val="00539E"/>
        </w:rPr>
        <w:t>OF</w:t>
      </w:r>
      <w:r>
        <w:rPr>
          <w:color w:val="00539E"/>
          <w:spacing w:val="-3"/>
        </w:rPr>
        <w:t> </w:t>
      </w:r>
      <w:r>
        <w:rPr>
          <w:color w:val="00539E"/>
        </w:rPr>
        <w:t>CERTAIN</w:t>
      </w:r>
      <w:r>
        <w:rPr>
          <w:color w:val="00539E"/>
          <w:spacing w:val="-3"/>
        </w:rPr>
        <w:t> </w:t>
      </w:r>
      <w:r>
        <w:rPr>
          <w:color w:val="00539E"/>
        </w:rPr>
        <w:t>BENEFICIAL</w:t>
      </w:r>
      <w:r>
        <w:rPr>
          <w:color w:val="00539E"/>
          <w:spacing w:val="-3"/>
        </w:rPr>
        <w:t> </w:t>
      </w:r>
      <w:r>
        <w:rPr>
          <w:color w:val="00539E"/>
        </w:rPr>
        <w:t>OWNERS</w:t>
      </w:r>
    </w:p>
    <w:p>
      <w:pPr>
        <w:pStyle w:val="BodyText"/>
        <w:spacing w:line="249" w:lineRule="auto" w:before="221"/>
        <w:ind w:left="250" w:right="608"/>
      </w:pP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table</w:t>
      </w:r>
      <w:r>
        <w:rPr>
          <w:spacing w:val="-4"/>
        </w:rPr>
        <w:t> </w:t>
      </w:r>
      <w:r>
        <w:rPr/>
        <w:t>sets</w:t>
      </w:r>
      <w:r>
        <w:rPr>
          <w:spacing w:val="-4"/>
        </w:rPr>
        <w:t> </w:t>
      </w:r>
      <w:r>
        <w:rPr/>
        <w:t>forth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respect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each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known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us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beneficial</w:t>
      </w:r>
      <w:r>
        <w:rPr>
          <w:spacing w:val="-4"/>
        </w:rPr>
        <w:t> </w:t>
      </w:r>
      <w:r>
        <w:rPr/>
        <w:t>owner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</w:t>
      </w:r>
      <w:r>
        <w:rPr>
          <w:spacing w:val="-2"/>
        </w:rPr>
        <w:t> </w:t>
      </w:r>
      <w:r>
        <w:rPr/>
        <w:t>5%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outstanding</w:t>
      </w:r>
      <w:r>
        <w:rPr>
          <w:spacing w:val="-2"/>
        </w:rPr>
        <w:t> </w:t>
      </w:r>
      <w:r>
        <w:rPr/>
        <w:t>shares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Common</w:t>
      </w:r>
      <w:r>
        <w:rPr>
          <w:spacing w:val="-2"/>
        </w:rPr>
        <w:t> </w:t>
      </w:r>
      <w:r>
        <w:rPr/>
        <w:t>Stock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February</w:t>
      </w:r>
      <w:r>
        <w:rPr>
          <w:spacing w:val="-1"/>
        </w:rPr>
        <w:t> </w:t>
      </w:r>
      <w:r>
        <w:rPr/>
        <w:t>18,</w:t>
      </w:r>
      <w:r>
        <w:rPr>
          <w:spacing w:val="-2"/>
        </w:rPr>
        <w:t> </w:t>
      </w:r>
      <w:r>
        <w:rPr/>
        <w:t>2022.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spacing w:before="104"/>
        <w:ind w:left="302" w:right="0" w:firstLine="0"/>
        <w:jc w:val="left"/>
        <w:rPr>
          <w:b/>
          <w:sz w:val="16"/>
        </w:rPr>
      </w:pPr>
      <w:r>
        <w:rPr>
          <w:b/>
          <w:sz w:val="16"/>
        </w:rPr>
        <w:t>Name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and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Business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Address</w:t>
      </w:r>
      <w:r>
        <w:rPr>
          <w:b/>
          <w:spacing w:val="-5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3"/>
          <w:sz w:val="16"/>
        </w:rPr>
        <w:t> </w:t>
      </w:r>
      <w:r>
        <w:rPr>
          <w:b/>
          <w:sz w:val="16"/>
        </w:rPr>
        <w:t>Beneficial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Owner</w:t>
      </w:r>
    </w:p>
    <w:p>
      <w:pPr>
        <w:spacing w:line="240" w:lineRule="auto" w:before="4"/>
        <w:rPr>
          <w:b/>
          <w:sz w:val="16"/>
        </w:rPr>
      </w:pPr>
      <w:r>
        <w:rPr/>
        <w:br w:type="column"/>
      </w:r>
      <w:r>
        <w:rPr>
          <w:b/>
          <w:sz w:val="16"/>
        </w:rPr>
      </w:r>
    </w:p>
    <w:p>
      <w:pPr>
        <w:spacing w:line="235" w:lineRule="auto" w:before="0"/>
        <w:ind w:left="302" w:right="38" w:firstLine="0"/>
        <w:jc w:val="center"/>
        <w:rPr>
          <w:b/>
          <w:sz w:val="16"/>
        </w:rPr>
      </w:pPr>
      <w:r>
        <w:rPr>
          <w:b/>
          <w:spacing w:val="-1"/>
          <w:sz w:val="16"/>
        </w:rPr>
        <w:t>Amount </w:t>
      </w:r>
      <w:r>
        <w:rPr>
          <w:b/>
          <w:sz w:val="16"/>
        </w:rPr>
        <w:t>and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Nature of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Beneficial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Ownership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spacing w:line="235" w:lineRule="auto" w:before="135"/>
        <w:ind w:left="422" w:right="651" w:hanging="120"/>
        <w:jc w:val="left"/>
        <w:rPr>
          <w:b/>
          <w:sz w:val="16"/>
        </w:rPr>
      </w:pPr>
      <w:r>
        <w:rPr>
          <w:b/>
          <w:spacing w:val="-1"/>
          <w:sz w:val="16"/>
        </w:rPr>
        <w:t>Percentage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2"/>
          <w:sz w:val="16"/>
        </w:rPr>
        <w:t> </w:t>
      </w:r>
      <w:r>
        <w:rPr>
          <w:b/>
          <w:sz w:val="16"/>
        </w:rPr>
        <w:t>Class</w:t>
      </w:r>
    </w:p>
    <w:p>
      <w:pPr>
        <w:spacing w:after="0" w:line="235" w:lineRule="auto"/>
        <w:jc w:val="left"/>
        <w:rPr>
          <w:sz w:val="16"/>
        </w:rPr>
        <w:sectPr>
          <w:type w:val="continuous"/>
          <w:pgSz w:w="12240" w:h="15840"/>
          <w:pgMar w:header="0" w:footer="517" w:top="860" w:bottom="280" w:left="740" w:right="700"/>
          <w:cols w:num="3" w:equalWidth="0">
            <w:col w:w="4083" w:space="3101"/>
            <w:col w:w="1276" w:space="514"/>
            <w:col w:w="1826"/>
          </w:cols>
        </w:sectPr>
      </w:pPr>
    </w:p>
    <w:p>
      <w:pPr>
        <w:pStyle w:val="BodyText"/>
        <w:spacing w:line="20" w:lineRule="exact"/>
        <w:ind w:left="240"/>
        <w:rPr>
          <w:sz w:val="2"/>
        </w:rPr>
      </w:pPr>
      <w:r>
        <w:rPr>
          <w:sz w:val="2"/>
        </w:rPr>
        <w:pict>
          <v:group style="width:511.5pt;height:1pt;mso-position-horizontal-relative:char;mso-position-vertical-relative:line" id="docshapegroup142" coordorigin="0,0" coordsize="10230,20">
            <v:shape style="position:absolute;left:0;top:10;width:10230;height:2" id="docshape143" coordorigin="0,10" coordsize="10230,0" path="m10230,10l0,10e" filled="true" fillcolor="#000000" stroked="false">
              <v:path arrowok="t"/>
              <v:fill opacity="0f" type="solid"/>
            </v:shape>
            <v:line style="position:absolute" from="0,10" to="10230,10" stroked="true" strokeweight="1pt" strokecolor="#00539e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7485" w:val="left" w:leader="none"/>
          <w:tab w:pos="9432" w:val="left" w:leader="none"/>
        </w:tabs>
        <w:spacing w:before="20"/>
        <w:ind w:left="347" w:right="0" w:firstLine="0"/>
        <w:jc w:val="left"/>
        <w:rPr>
          <w:sz w:val="16"/>
        </w:rPr>
      </w:pPr>
      <w:r>
        <w:rPr>
          <w:spacing w:val="-1"/>
          <w:sz w:val="16"/>
        </w:rPr>
        <w:t>The Vanguard</w:t>
      </w:r>
      <w:r>
        <w:rPr>
          <w:sz w:val="16"/>
        </w:rPr>
        <w:t> </w:t>
      </w:r>
      <w:r>
        <w:rPr>
          <w:spacing w:val="-1"/>
          <w:sz w:val="16"/>
        </w:rPr>
        <w:t>Group,</w:t>
      </w:r>
      <w:r>
        <w:rPr>
          <w:sz w:val="16"/>
        </w:rPr>
        <w:t> Inc.</w:t>
      </w:r>
      <w:r>
        <w:rPr>
          <w:spacing w:val="-17"/>
          <w:sz w:val="16"/>
        </w:rPr>
        <w:t> </w:t>
      </w:r>
      <w:r>
        <w:rPr>
          <w:sz w:val="16"/>
          <w:vertAlign w:val="superscript"/>
        </w:rPr>
        <w:t>(1)</w:t>
      </w:r>
      <w:r>
        <w:rPr>
          <w:sz w:val="16"/>
          <w:vertAlign w:val="baseline"/>
        </w:rPr>
        <w:tab/>
        <w:t>24,501,375</w:t>
        <w:tab/>
        <w:t>13.2%</w:t>
      </w:r>
    </w:p>
    <w:p>
      <w:pPr>
        <w:spacing w:before="41"/>
        <w:ind w:left="482" w:right="0" w:firstLine="0"/>
        <w:jc w:val="left"/>
        <w:rPr>
          <w:sz w:val="16"/>
        </w:rPr>
      </w:pPr>
      <w:r>
        <w:rPr>
          <w:sz w:val="16"/>
        </w:rPr>
        <w:t>100</w:t>
      </w:r>
      <w:r>
        <w:rPr>
          <w:spacing w:val="-8"/>
          <w:sz w:val="16"/>
        </w:rPr>
        <w:t> </w:t>
      </w:r>
      <w:r>
        <w:rPr>
          <w:sz w:val="16"/>
        </w:rPr>
        <w:t>Vanguard</w:t>
      </w:r>
      <w:r>
        <w:rPr>
          <w:spacing w:val="-8"/>
          <w:sz w:val="16"/>
        </w:rPr>
        <w:t> </w:t>
      </w:r>
      <w:r>
        <w:rPr>
          <w:sz w:val="16"/>
        </w:rPr>
        <w:t>Blvd.</w:t>
      </w:r>
    </w:p>
    <w:p>
      <w:pPr>
        <w:spacing w:before="41"/>
        <w:ind w:left="482" w:right="0" w:firstLine="0"/>
        <w:jc w:val="left"/>
        <w:rPr>
          <w:sz w:val="16"/>
        </w:rPr>
      </w:pPr>
      <w:r>
        <w:rPr/>
        <w:pict>
          <v:group style="position:absolute;margin-left:49.5pt;margin-top:12.233955pt;width:511.5pt;height:1pt;mso-position-horizontal-relative:page;mso-position-vertical-relative:paragraph;z-index:-15680000;mso-wrap-distance-left:0;mso-wrap-distance-right:0" id="docshapegroup144" coordorigin="990,245" coordsize="10230,20">
            <v:shape style="position:absolute;left:990;top:254;width:10230;height:2" id="docshape145" coordorigin="990,255" coordsize="10230,0" path="m11220,255l990,255e" filled="true" fillcolor="#000000" stroked="false">
              <v:path arrowok="t"/>
              <v:fill opacity="0f" type="solid"/>
            </v:shape>
            <v:line style="position:absolute" from="990,255" to="11220,255" stroked="true" strokeweight="1pt" strokecolor="#888a8c">
              <v:stroke dashstyle="solid"/>
            </v:line>
            <w10:wrap type="topAndBottom"/>
          </v:group>
        </w:pict>
      </w:r>
      <w:r>
        <w:rPr>
          <w:sz w:val="16"/>
        </w:rPr>
        <w:t>Malvern,</w:t>
      </w:r>
      <w:r>
        <w:rPr>
          <w:spacing w:val="-5"/>
          <w:sz w:val="16"/>
        </w:rPr>
        <w:t> </w:t>
      </w:r>
      <w:r>
        <w:rPr>
          <w:sz w:val="16"/>
        </w:rPr>
        <w:t>Pennsylvania</w:t>
      </w:r>
      <w:r>
        <w:rPr>
          <w:spacing w:val="-6"/>
          <w:sz w:val="16"/>
        </w:rPr>
        <w:t> </w:t>
      </w:r>
      <w:r>
        <w:rPr>
          <w:sz w:val="16"/>
        </w:rPr>
        <w:t>19355</w:t>
      </w:r>
    </w:p>
    <w:p>
      <w:pPr>
        <w:tabs>
          <w:tab w:pos="7485" w:val="left" w:leader="none"/>
          <w:tab w:pos="9476" w:val="left" w:leader="none"/>
        </w:tabs>
        <w:spacing w:before="16"/>
        <w:ind w:left="347" w:right="0" w:firstLine="0"/>
        <w:jc w:val="left"/>
        <w:rPr>
          <w:sz w:val="16"/>
        </w:rPr>
      </w:pPr>
      <w:r>
        <w:rPr>
          <w:sz w:val="16"/>
        </w:rPr>
        <w:t>FMR</w:t>
      </w:r>
      <w:r>
        <w:rPr>
          <w:spacing w:val="1"/>
          <w:sz w:val="16"/>
        </w:rPr>
        <w:t> </w:t>
      </w:r>
      <w:r>
        <w:rPr>
          <w:sz w:val="16"/>
        </w:rPr>
        <w:t>LLC </w:t>
      </w:r>
      <w:r>
        <w:rPr>
          <w:sz w:val="16"/>
          <w:vertAlign w:val="superscript"/>
        </w:rPr>
        <w:t>(2)</w:t>
      </w:r>
      <w:r>
        <w:rPr>
          <w:sz w:val="16"/>
          <w:vertAlign w:val="baseline"/>
        </w:rPr>
        <w:tab/>
        <w:t>14,886,273</w:t>
        <w:tab/>
        <w:t>8.0%</w:t>
      </w:r>
    </w:p>
    <w:p>
      <w:pPr>
        <w:spacing w:before="56"/>
        <w:ind w:left="482" w:right="0" w:firstLine="0"/>
        <w:jc w:val="left"/>
        <w:rPr>
          <w:sz w:val="16"/>
        </w:rPr>
      </w:pPr>
      <w:r>
        <w:rPr>
          <w:sz w:val="16"/>
        </w:rPr>
        <w:t>245</w:t>
      </w:r>
      <w:r>
        <w:rPr>
          <w:spacing w:val="-3"/>
          <w:sz w:val="16"/>
        </w:rPr>
        <w:t> </w:t>
      </w:r>
      <w:r>
        <w:rPr>
          <w:sz w:val="16"/>
        </w:rPr>
        <w:t>Summer</w:t>
      </w:r>
      <w:r>
        <w:rPr>
          <w:spacing w:val="-2"/>
          <w:sz w:val="16"/>
        </w:rPr>
        <w:t> </w:t>
      </w:r>
      <w:r>
        <w:rPr>
          <w:sz w:val="16"/>
        </w:rPr>
        <w:t>Street</w:t>
      </w:r>
    </w:p>
    <w:p>
      <w:pPr>
        <w:spacing w:before="56"/>
        <w:ind w:left="482" w:right="0" w:firstLine="0"/>
        <w:jc w:val="left"/>
        <w:rPr>
          <w:sz w:val="16"/>
        </w:rPr>
      </w:pPr>
      <w:r>
        <w:rPr/>
        <w:pict>
          <v:group style="position:absolute;margin-left:49.5pt;margin-top:12.983955pt;width:511.5pt;height:1pt;mso-position-horizontal-relative:page;mso-position-vertical-relative:paragraph;z-index:-15679488;mso-wrap-distance-left:0;mso-wrap-distance-right:0" id="docshapegroup146" coordorigin="990,260" coordsize="10230,20">
            <v:shape style="position:absolute;left:990;top:269;width:10230;height:2" id="docshape147" coordorigin="990,270" coordsize="10230,0" path="m11220,270l990,270e" filled="true" fillcolor="#000000" stroked="false">
              <v:path arrowok="t"/>
              <v:fill opacity="0f" type="solid"/>
            </v:shape>
            <v:line style="position:absolute" from="990,270" to="11220,270" stroked="true" strokeweight="1pt" strokecolor="#888a8c">
              <v:stroke dashstyle="solid"/>
            </v:line>
            <w10:wrap type="topAndBottom"/>
          </v:group>
        </w:pict>
      </w:r>
      <w:r>
        <w:rPr>
          <w:sz w:val="16"/>
        </w:rPr>
        <w:t>Boston,</w:t>
      </w:r>
      <w:r>
        <w:rPr>
          <w:spacing w:val="-4"/>
          <w:sz w:val="16"/>
        </w:rPr>
        <w:t> </w:t>
      </w:r>
      <w:r>
        <w:rPr>
          <w:sz w:val="16"/>
        </w:rPr>
        <w:t>Massachusetts</w:t>
      </w:r>
      <w:r>
        <w:rPr>
          <w:spacing w:val="-4"/>
          <w:sz w:val="16"/>
        </w:rPr>
        <w:t> </w:t>
      </w:r>
      <w:r>
        <w:rPr>
          <w:sz w:val="16"/>
        </w:rPr>
        <w:t>02210</w:t>
      </w:r>
    </w:p>
    <w:p>
      <w:pPr>
        <w:tabs>
          <w:tab w:pos="7485" w:val="left" w:leader="none"/>
          <w:tab w:pos="9476" w:val="left" w:leader="none"/>
        </w:tabs>
        <w:spacing w:before="16"/>
        <w:ind w:left="302" w:right="0" w:firstLine="0"/>
        <w:jc w:val="left"/>
        <w:rPr>
          <w:sz w:val="16"/>
        </w:rPr>
      </w:pPr>
      <w:r>
        <w:rPr>
          <w:sz w:val="16"/>
        </w:rPr>
        <w:t>BlackRock, Inc. </w:t>
      </w:r>
      <w:r>
        <w:rPr>
          <w:sz w:val="16"/>
          <w:vertAlign w:val="superscript"/>
        </w:rPr>
        <w:t>(3)</w:t>
      </w:r>
      <w:r>
        <w:rPr>
          <w:sz w:val="16"/>
          <w:vertAlign w:val="baseline"/>
        </w:rPr>
        <w:tab/>
        <w:t>14,515,744</w:t>
        <w:tab/>
        <w:t>7.8%</w:t>
      </w:r>
    </w:p>
    <w:p>
      <w:pPr>
        <w:spacing w:before="56"/>
        <w:ind w:left="482" w:right="0" w:firstLine="0"/>
        <w:jc w:val="left"/>
        <w:rPr>
          <w:sz w:val="16"/>
        </w:rPr>
      </w:pPr>
      <w:r>
        <w:rPr>
          <w:sz w:val="16"/>
        </w:rPr>
        <w:t>55</w:t>
      </w:r>
      <w:r>
        <w:rPr>
          <w:spacing w:val="-3"/>
          <w:sz w:val="16"/>
        </w:rPr>
        <w:t> </w:t>
      </w:r>
      <w:r>
        <w:rPr>
          <w:sz w:val="16"/>
        </w:rPr>
        <w:t>East</w:t>
      </w:r>
      <w:r>
        <w:rPr>
          <w:spacing w:val="-2"/>
          <w:sz w:val="16"/>
        </w:rPr>
        <w:t> </w:t>
      </w:r>
      <w:r>
        <w:rPr>
          <w:sz w:val="16"/>
        </w:rPr>
        <w:t>52nd</w:t>
      </w:r>
      <w:r>
        <w:rPr>
          <w:spacing w:val="-2"/>
          <w:sz w:val="16"/>
        </w:rPr>
        <w:t> </w:t>
      </w:r>
      <w:r>
        <w:rPr>
          <w:sz w:val="16"/>
        </w:rPr>
        <w:t>Street</w:t>
      </w:r>
    </w:p>
    <w:p>
      <w:pPr>
        <w:spacing w:before="56"/>
        <w:ind w:left="482" w:right="0" w:firstLine="0"/>
        <w:jc w:val="left"/>
        <w:rPr>
          <w:sz w:val="16"/>
        </w:rPr>
      </w:pPr>
      <w:r>
        <w:rPr/>
        <w:pict>
          <v:group style="position:absolute;margin-left:49.5pt;margin-top:12.983955pt;width:511.5pt;height:1pt;mso-position-horizontal-relative:page;mso-position-vertical-relative:paragraph;z-index:-15678976;mso-wrap-distance-left:0;mso-wrap-distance-right:0" id="docshapegroup148" coordorigin="990,260" coordsize="10230,20">
            <v:shape style="position:absolute;left:990;top:269;width:10230;height:2" id="docshape149" coordorigin="990,270" coordsize="10230,0" path="m11220,270l990,270e" filled="true" fillcolor="#000000" stroked="false">
              <v:path arrowok="t"/>
              <v:fill opacity="0f" type="solid"/>
            </v:shape>
            <v:line style="position:absolute" from="990,270" to="11220,270" stroked="true" strokeweight="1pt" strokecolor="#888a8c">
              <v:stroke dashstyle="solid"/>
            </v:line>
            <w10:wrap type="topAndBottom"/>
          </v:group>
        </w:pict>
      </w:r>
      <w:r>
        <w:rPr>
          <w:sz w:val="16"/>
        </w:rPr>
        <w:t>New</w:t>
      </w:r>
      <w:r>
        <w:rPr>
          <w:spacing w:val="-11"/>
          <w:sz w:val="16"/>
        </w:rPr>
        <w:t> </w:t>
      </w:r>
      <w:r>
        <w:rPr>
          <w:sz w:val="16"/>
        </w:rPr>
        <w:t>York,</w:t>
      </w:r>
      <w:r>
        <w:rPr>
          <w:spacing w:val="-8"/>
          <w:sz w:val="16"/>
        </w:rPr>
        <w:t> </w:t>
      </w:r>
      <w:r>
        <w:rPr>
          <w:sz w:val="16"/>
        </w:rPr>
        <w:t>New</w:t>
      </w:r>
      <w:r>
        <w:rPr>
          <w:spacing w:val="-10"/>
          <w:sz w:val="16"/>
        </w:rPr>
        <w:t> </w:t>
      </w:r>
      <w:r>
        <w:rPr>
          <w:sz w:val="16"/>
        </w:rPr>
        <w:t>York</w:t>
      </w:r>
      <w:r>
        <w:rPr>
          <w:spacing w:val="-8"/>
          <w:sz w:val="16"/>
        </w:rPr>
        <w:t> </w:t>
      </w:r>
      <w:r>
        <w:rPr>
          <w:sz w:val="16"/>
        </w:rPr>
        <w:t>10055</w:t>
      </w:r>
    </w:p>
    <w:p>
      <w:pPr>
        <w:tabs>
          <w:tab w:pos="7485" w:val="left" w:leader="none"/>
          <w:tab w:pos="9476" w:val="left" w:leader="none"/>
        </w:tabs>
        <w:spacing w:before="21"/>
        <w:ind w:left="302" w:right="0" w:firstLine="0"/>
        <w:jc w:val="left"/>
        <w:rPr>
          <w:sz w:val="16"/>
        </w:rPr>
      </w:pPr>
      <w:r>
        <w:rPr>
          <w:spacing w:val="-1"/>
          <w:position w:val="1"/>
          <w:sz w:val="16"/>
        </w:rPr>
        <w:t>T.</w:t>
      </w:r>
      <w:r>
        <w:rPr>
          <w:position w:val="1"/>
          <w:sz w:val="16"/>
        </w:rPr>
        <w:t> </w:t>
      </w:r>
      <w:r>
        <w:rPr>
          <w:spacing w:val="-1"/>
          <w:position w:val="1"/>
          <w:sz w:val="16"/>
        </w:rPr>
        <w:t>Rowe</w:t>
      </w:r>
      <w:r>
        <w:rPr>
          <w:position w:val="1"/>
          <w:sz w:val="16"/>
        </w:rPr>
        <w:t> </w:t>
      </w:r>
      <w:r>
        <w:rPr>
          <w:spacing w:val="-1"/>
          <w:position w:val="1"/>
          <w:sz w:val="16"/>
        </w:rPr>
        <w:t>Price</w:t>
      </w:r>
      <w:r>
        <w:rPr>
          <w:spacing w:val="-9"/>
          <w:position w:val="1"/>
          <w:sz w:val="16"/>
        </w:rPr>
        <w:t> </w:t>
      </w:r>
      <w:r>
        <w:rPr>
          <w:spacing w:val="-1"/>
          <w:position w:val="1"/>
          <w:sz w:val="16"/>
        </w:rPr>
        <w:t>Associates,</w:t>
      </w:r>
      <w:r>
        <w:rPr>
          <w:spacing w:val="1"/>
          <w:position w:val="1"/>
          <w:sz w:val="16"/>
        </w:rPr>
        <w:t> </w:t>
      </w:r>
      <w:r>
        <w:rPr>
          <w:position w:val="1"/>
          <w:sz w:val="16"/>
        </w:rPr>
        <w:t>Inc.</w:t>
      </w:r>
      <w:r>
        <w:rPr>
          <w:spacing w:val="-18"/>
          <w:position w:val="1"/>
          <w:sz w:val="16"/>
        </w:rPr>
        <w:t> </w:t>
      </w:r>
      <w:r>
        <w:rPr>
          <w:position w:val="1"/>
          <w:sz w:val="16"/>
          <w:vertAlign w:val="superscript"/>
        </w:rPr>
        <w:t>(4)</w:t>
      </w:r>
      <w:r>
        <w:rPr>
          <w:position w:val="1"/>
          <w:sz w:val="16"/>
          <w:vertAlign w:val="baseline"/>
        </w:rPr>
        <w:tab/>
      </w:r>
      <w:r>
        <w:rPr>
          <w:sz w:val="16"/>
          <w:vertAlign w:val="baseline"/>
        </w:rPr>
        <w:t>10,459,829</w:t>
        <w:tab/>
      </w:r>
      <w:r>
        <w:rPr>
          <w:position w:val="1"/>
          <w:sz w:val="16"/>
          <w:vertAlign w:val="baseline"/>
        </w:rPr>
        <w:t>5.6%</w:t>
      </w:r>
    </w:p>
    <w:p>
      <w:pPr>
        <w:spacing w:line="312" w:lineRule="auto" w:before="41"/>
        <w:ind w:left="482" w:right="8398" w:firstLine="0"/>
        <w:jc w:val="left"/>
        <w:rPr>
          <w:sz w:val="16"/>
        </w:rPr>
      </w:pPr>
      <w:r>
        <w:rPr/>
        <w:pict>
          <v:group style="position:absolute;margin-left:49.5pt;margin-top:24.233955pt;width:511.5pt;height:1pt;mso-position-horizontal-relative:page;mso-position-vertical-relative:paragraph;z-index:15778816" id="docshapegroup150" coordorigin="990,485" coordsize="10230,20">
            <v:shape style="position:absolute;left:990;top:494;width:10230;height:2" id="docshape151" coordorigin="990,495" coordsize="10230,0" path="m11220,495l990,495e" filled="true" fillcolor="#000000" stroked="false">
              <v:path arrowok="t"/>
              <v:fill opacity="0f" type="solid"/>
            </v:shape>
            <v:line style="position:absolute" from="990,495" to="11220,495" stroked="true" strokeweight="1pt" strokecolor="#00539e">
              <v:stroke dashstyle="solid"/>
            </v:line>
            <w10:wrap type="none"/>
          </v:group>
        </w:pict>
      </w:r>
      <w:r>
        <w:rPr>
          <w:sz w:val="16"/>
        </w:rPr>
        <w:t>100 E. Pratt Street</w:t>
      </w:r>
      <w:r>
        <w:rPr>
          <w:spacing w:val="1"/>
          <w:sz w:val="16"/>
        </w:rPr>
        <w:t> </w:t>
      </w:r>
      <w:r>
        <w:rPr>
          <w:sz w:val="16"/>
        </w:rPr>
        <w:t>Baltimore,</w:t>
      </w:r>
      <w:r>
        <w:rPr>
          <w:spacing w:val="-6"/>
          <w:sz w:val="16"/>
        </w:rPr>
        <w:t> </w:t>
      </w:r>
      <w:r>
        <w:rPr>
          <w:sz w:val="16"/>
        </w:rPr>
        <w:t>Maryland</w:t>
      </w:r>
      <w:r>
        <w:rPr>
          <w:spacing w:val="-7"/>
          <w:sz w:val="16"/>
        </w:rPr>
        <w:t> </w:t>
      </w:r>
      <w:r>
        <w:rPr>
          <w:sz w:val="16"/>
        </w:rPr>
        <w:t>21202</w:t>
      </w:r>
    </w:p>
    <w:p>
      <w:pPr>
        <w:pStyle w:val="ListParagraph"/>
        <w:numPr>
          <w:ilvl w:val="0"/>
          <w:numId w:val="21"/>
        </w:numPr>
        <w:tabs>
          <w:tab w:pos="610" w:val="left" w:leader="none"/>
        </w:tabs>
        <w:spacing w:line="249" w:lineRule="auto" w:before="42" w:after="0"/>
        <w:ind w:left="610" w:right="361" w:hanging="360"/>
        <w:jc w:val="left"/>
        <w:rPr>
          <w:sz w:val="16"/>
        </w:rPr>
      </w:pPr>
      <w:r>
        <w:rPr>
          <w:spacing w:val="-1"/>
          <w:sz w:val="16"/>
        </w:rPr>
        <w:t>Pursuant </w:t>
      </w:r>
      <w:r>
        <w:rPr>
          <w:sz w:val="16"/>
        </w:rPr>
        <w:t>to a Schedule 13G/A filed with the SEC for calendar year 2021, The Vanguard Group, Inc. is the beneficial owner of 24,501,375</w:t>
      </w:r>
      <w:r>
        <w:rPr>
          <w:spacing w:val="1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has</w:t>
      </w:r>
      <w:r>
        <w:rPr>
          <w:spacing w:val="-2"/>
          <w:sz w:val="16"/>
        </w:rPr>
        <w:t> </w:t>
      </w:r>
      <w:r>
        <w:rPr>
          <w:sz w:val="16"/>
        </w:rPr>
        <w:t>shared</w:t>
      </w:r>
      <w:r>
        <w:rPr>
          <w:spacing w:val="-4"/>
          <w:sz w:val="16"/>
        </w:rPr>
        <w:t> </w:t>
      </w:r>
      <w:r>
        <w:rPr>
          <w:sz w:val="16"/>
        </w:rPr>
        <w:t>voting</w:t>
      </w:r>
      <w:r>
        <w:rPr>
          <w:spacing w:val="-4"/>
          <w:sz w:val="16"/>
        </w:rPr>
        <w:t> </w:t>
      </w:r>
      <w:r>
        <w:rPr>
          <w:sz w:val="16"/>
        </w:rPr>
        <w:t>power</w:t>
      </w:r>
      <w:r>
        <w:rPr>
          <w:spacing w:val="-3"/>
          <w:sz w:val="16"/>
        </w:rPr>
        <w:t> </w:t>
      </w:r>
      <w:r>
        <w:rPr>
          <w:sz w:val="16"/>
        </w:rPr>
        <w:t>over</w:t>
      </w:r>
      <w:r>
        <w:rPr>
          <w:spacing w:val="-3"/>
          <w:sz w:val="16"/>
        </w:rPr>
        <w:t> </w:t>
      </w:r>
      <w:r>
        <w:rPr>
          <w:sz w:val="16"/>
        </w:rPr>
        <w:t>327,402</w:t>
      </w:r>
      <w:r>
        <w:rPr>
          <w:spacing w:val="-3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sole</w:t>
      </w:r>
      <w:r>
        <w:rPr>
          <w:spacing w:val="-4"/>
          <w:sz w:val="16"/>
        </w:rPr>
        <w:t> </w:t>
      </w:r>
      <w:r>
        <w:rPr>
          <w:sz w:val="16"/>
        </w:rPr>
        <w:t>dispositive</w:t>
      </w:r>
      <w:r>
        <w:rPr>
          <w:spacing w:val="-4"/>
          <w:sz w:val="16"/>
        </w:rPr>
        <w:t> </w:t>
      </w:r>
      <w:r>
        <w:rPr>
          <w:sz w:val="16"/>
        </w:rPr>
        <w:t>power</w:t>
      </w:r>
      <w:r>
        <w:rPr>
          <w:spacing w:val="-3"/>
          <w:sz w:val="16"/>
        </w:rPr>
        <w:t> </w:t>
      </w:r>
      <w:r>
        <w:rPr>
          <w:sz w:val="16"/>
        </w:rPr>
        <w:t>over</w:t>
      </w:r>
      <w:r>
        <w:rPr>
          <w:spacing w:val="-3"/>
          <w:sz w:val="16"/>
        </w:rPr>
        <w:t> </w:t>
      </w:r>
      <w:r>
        <w:rPr>
          <w:sz w:val="16"/>
        </w:rPr>
        <w:t>23,961,957</w:t>
      </w:r>
      <w:r>
        <w:rPr>
          <w:spacing w:val="1"/>
          <w:sz w:val="16"/>
        </w:rPr>
        <w:t> </w:t>
      </w:r>
      <w:r>
        <w:rPr>
          <w:sz w:val="16"/>
        </w:rPr>
        <w:t>shares</w:t>
      </w:r>
      <w:r>
        <w:rPr>
          <w:spacing w:val="-1"/>
          <w:sz w:val="16"/>
        </w:rPr>
        <w:t> </w:t>
      </w:r>
      <w:r>
        <w:rPr>
          <w:sz w:val="16"/>
        </w:rPr>
        <w:t>of Common</w:t>
      </w:r>
      <w:r>
        <w:rPr>
          <w:spacing w:val="-1"/>
          <w:sz w:val="16"/>
        </w:rPr>
        <w:t> </w:t>
      </w:r>
      <w:r>
        <w:rPr>
          <w:sz w:val="16"/>
        </w:rPr>
        <w:t>Stock.</w:t>
      </w:r>
    </w:p>
    <w:p>
      <w:pPr>
        <w:pStyle w:val="ListParagraph"/>
        <w:numPr>
          <w:ilvl w:val="0"/>
          <w:numId w:val="21"/>
        </w:numPr>
        <w:tabs>
          <w:tab w:pos="610" w:val="left" w:leader="none"/>
        </w:tabs>
        <w:spacing w:line="249" w:lineRule="auto" w:before="102" w:after="0"/>
        <w:ind w:left="610" w:right="424" w:hanging="360"/>
        <w:jc w:val="left"/>
        <w:rPr>
          <w:sz w:val="16"/>
        </w:rPr>
      </w:pPr>
      <w:r>
        <w:rPr>
          <w:sz w:val="16"/>
        </w:rPr>
        <w:t>Pursuant to a Schedule 13G/A filed with the SEC for calendar year 2021, FMR LLC is the beneficial owner of 14,886,273 shares of</w:t>
      </w:r>
      <w:r>
        <w:rPr>
          <w:spacing w:val="1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has</w:t>
      </w:r>
      <w:r>
        <w:rPr>
          <w:spacing w:val="-3"/>
          <w:sz w:val="16"/>
        </w:rPr>
        <w:t> </w:t>
      </w:r>
      <w:r>
        <w:rPr>
          <w:sz w:val="16"/>
        </w:rPr>
        <w:t>sole</w:t>
      </w:r>
      <w:r>
        <w:rPr>
          <w:spacing w:val="-3"/>
          <w:sz w:val="16"/>
        </w:rPr>
        <w:t> </w:t>
      </w:r>
      <w:r>
        <w:rPr>
          <w:sz w:val="16"/>
        </w:rPr>
        <w:t>voting</w:t>
      </w:r>
      <w:r>
        <w:rPr>
          <w:spacing w:val="-4"/>
          <w:sz w:val="16"/>
        </w:rPr>
        <w:t> </w:t>
      </w:r>
      <w:r>
        <w:rPr>
          <w:sz w:val="16"/>
        </w:rPr>
        <w:t>power</w:t>
      </w:r>
      <w:r>
        <w:rPr>
          <w:spacing w:val="-3"/>
          <w:sz w:val="16"/>
        </w:rPr>
        <w:t> </w:t>
      </w:r>
      <w:r>
        <w:rPr>
          <w:sz w:val="16"/>
        </w:rPr>
        <w:t>over</w:t>
      </w:r>
      <w:r>
        <w:rPr>
          <w:spacing w:val="-3"/>
          <w:sz w:val="16"/>
        </w:rPr>
        <w:t> </w:t>
      </w:r>
      <w:r>
        <w:rPr>
          <w:sz w:val="16"/>
        </w:rPr>
        <w:t>3,798,585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sole</w:t>
      </w:r>
      <w:r>
        <w:rPr>
          <w:spacing w:val="-4"/>
          <w:sz w:val="16"/>
        </w:rPr>
        <w:t> </w:t>
      </w:r>
      <w:r>
        <w:rPr>
          <w:sz w:val="16"/>
        </w:rPr>
        <w:t>dispositive</w:t>
      </w:r>
      <w:r>
        <w:rPr>
          <w:spacing w:val="-3"/>
          <w:sz w:val="16"/>
        </w:rPr>
        <w:t> </w:t>
      </w:r>
      <w:r>
        <w:rPr>
          <w:sz w:val="16"/>
        </w:rPr>
        <w:t>power</w:t>
      </w:r>
      <w:r>
        <w:rPr>
          <w:spacing w:val="-3"/>
          <w:sz w:val="16"/>
        </w:rPr>
        <w:t> </w:t>
      </w:r>
      <w:r>
        <w:rPr>
          <w:sz w:val="16"/>
        </w:rPr>
        <w:t>over</w:t>
      </w:r>
      <w:r>
        <w:rPr>
          <w:spacing w:val="-3"/>
          <w:sz w:val="16"/>
        </w:rPr>
        <w:t> </w:t>
      </w:r>
      <w:r>
        <w:rPr>
          <w:sz w:val="16"/>
        </w:rPr>
        <w:t>14,886,273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Common</w:t>
      </w:r>
      <w:r>
        <w:rPr>
          <w:spacing w:val="-2"/>
          <w:sz w:val="16"/>
        </w:rPr>
        <w:t> </w:t>
      </w:r>
      <w:r>
        <w:rPr>
          <w:sz w:val="16"/>
        </w:rPr>
        <w:t>Stock.</w:t>
      </w:r>
    </w:p>
    <w:p>
      <w:pPr>
        <w:pStyle w:val="ListParagraph"/>
        <w:numPr>
          <w:ilvl w:val="0"/>
          <w:numId w:val="21"/>
        </w:numPr>
        <w:tabs>
          <w:tab w:pos="610" w:val="left" w:leader="none"/>
        </w:tabs>
        <w:spacing w:line="249" w:lineRule="auto" w:before="102" w:after="0"/>
        <w:ind w:left="610" w:right="335" w:hanging="360"/>
        <w:jc w:val="left"/>
        <w:rPr>
          <w:sz w:val="16"/>
        </w:rPr>
      </w:pPr>
      <w:r>
        <w:rPr>
          <w:sz w:val="16"/>
        </w:rPr>
        <w:t>Pursuant to a Schedule 13G/A filed with the SEC for calendar year 2021, BlackRock, Inc. is the beneficial owner of 14,515,744 shares of</w:t>
      </w:r>
      <w:r>
        <w:rPr>
          <w:spacing w:val="1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has</w:t>
      </w:r>
      <w:r>
        <w:rPr>
          <w:spacing w:val="-3"/>
          <w:sz w:val="16"/>
        </w:rPr>
        <w:t> </w:t>
      </w:r>
      <w:r>
        <w:rPr>
          <w:sz w:val="16"/>
        </w:rPr>
        <w:t>sole</w:t>
      </w:r>
      <w:r>
        <w:rPr>
          <w:spacing w:val="-4"/>
          <w:sz w:val="16"/>
        </w:rPr>
        <w:t> </w:t>
      </w:r>
      <w:r>
        <w:rPr>
          <w:sz w:val="16"/>
        </w:rPr>
        <w:t>voting</w:t>
      </w:r>
      <w:r>
        <w:rPr>
          <w:spacing w:val="-4"/>
          <w:sz w:val="16"/>
        </w:rPr>
        <w:t> </w:t>
      </w:r>
      <w:r>
        <w:rPr>
          <w:sz w:val="16"/>
        </w:rPr>
        <w:t>power</w:t>
      </w:r>
      <w:r>
        <w:rPr>
          <w:spacing w:val="-2"/>
          <w:sz w:val="16"/>
        </w:rPr>
        <w:t> </w:t>
      </w:r>
      <w:r>
        <w:rPr>
          <w:sz w:val="16"/>
        </w:rPr>
        <w:t>over</w:t>
      </w:r>
      <w:r>
        <w:rPr>
          <w:spacing w:val="-3"/>
          <w:sz w:val="16"/>
        </w:rPr>
        <w:t> </w:t>
      </w:r>
      <w:r>
        <w:rPr>
          <w:sz w:val="16"/>
        </w:rPr>
        <w:t>12,578,839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sole</w:t>
      </w:r>
      <w:r>
        <w:rPr>
          <w:spacing w:val="-4"/>
          <w:sz w:val="16"/>
        </w:rPr>
        <w:t> </w:t>
      </w:r>
      <w:r>
        <w:rPr>
          <w:sz w:val="16"/>
        </w:rPr>
        <w:t>dispositive</w:t>
      </w:r>
      <w:r>
        <w:rPr>
          <w:spacing w:val="-4"/>
          <w:sz w:val="16"/>
        </w:rPr>
        <w:t> </w:t>
      </w:r>
      <w:r>
        <w:rPr>
          <w:sz w:val="16"/>
        </w:rPr>
        <w:t>power</w:t>
      </w:r>
      <w:r>
        <w:rPr>
          <w:spacing w:val="-3"/>
          <w:sz w:val="16"/>
        </w:rPr>
        <w:t> </w:t>
      </w:r>
      <w:r>
        <w:rPr>
          <w:sz w:val="16"/>
        </w:rPr>
        <w:t>over</w:t>
      </w:r>
      <w:r>
        <w:rPr>
          <w:spacing w:val="-3"/>
          <w:sz w:val="16"/>
        </w:rPr>
        <w:t> </w:t>
      </w:r>
      <w:r>
        <w:rPr>
          <w:sz w:val="16"/>
        </w:rPr>
        <w:t>14,515,744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Common</w:t>
      </w:r>
      <w:r>
        <w:rPr>
          <w:spacing w:val="-2"/>
          <w:sz w:val="16"/>
        </w:rPr>
        <w:t> </w:t>
      </w:r>
      <w:r>
        <w:rPr>
          <w:sz w:val="16"/>
        </w:rPr>
        <w:t>Stock.</w:t>
      </w:r>
    </w:p>
    <w:p>
      <w:pPr>
        <w:pStyle w:val="ListParagraph"/>
        <w:numPr>
          <w:ilvl w:val="0"/>
          <w:numId w:val="21"/>
        </w:numPr>
        <w:tabs>
          <w:tab w:pos="610" w:val="left" w:leader="none"/>
        </w:tabs>
        <w:spacing w:line="249" w:lineRule="auto" w:before="102" w:after="0"/>
        <w:ind w:left="610" w:right="354" w:hanging="360"/>
        <w:jc w:val="left"/>
        <w:rPr>
          <w:sz w:val="16"/>
        </w:rPr>
      </w:pPr>
      <w:r>
        <w:rPr>
          <w:spacing w:val="-1"/>
          <w:sz w:val="16"/>
        </w:rPr>
        <w:t>Pursuant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to</w:t>
      </w:r>
      <w:r>
        <w:rPr>
          <w:spacing w:val="-3"/>
          <w:sz w:val="16"/>
        </w:rPr>
        <w:t> </w:t>
      </w:r>
      <w:r>
        <w:rPr>
          <w:spacing w:val="-1"/>
          <w:sz w:val="16"/>
        </w:rPr>
        <w:t>a</w:t>
      </w:r>
      <w:r>
        <w:rPr>
          <w:spacing w:val="-4"/>
          <w:sz w:val="16"/>
        </w:rPr>
        <w:t> </w:t>
      </w:r>
      <w:r>
        <w:rPr>
          <w:spacing w:val="-1"/>
          <w:sz w:val="16"/>
        </w:rPr>
        <w:t>Schedule</w:t>
      </w:r>
      <w:r>
        <w:rPr>
          <w:spacing w:val="-3"/>
          <w:sz w:val="16"/>
        </w:rPr>
        <w:t> </w:t>
      </w:r>
      <w:r>
        <w:rPr>
          <w:sz w:val="16"/>
        </w:rPr>
        <w:t>13G</w:t>
      </w:r>
      <w:r>
        <w:rPr>
          <w:spacing w:val="-3"/>
          <w:sz w:val="16"/>
        </w:rPr>
        <w:t> </w:t>
      </w:r>
      <w:r>
        <w:rPr>
          <w:sz w:val="16"/>
        </w:rPr>
        <w:t>filed</w:t>
      </w:r>
      <w:r>
        <w:rPr>
          <w:spacing w:val="-3"/>
          <w:sz w:val="16"/>
        </w:rPr>
        <w:t> </w:t>
      </w:r>
      <w:r>
        <w:rPr>
          <w:sz w:val="16"/>
        </w:rPr>
        <w:t>with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SEC</w:t>
      </w:r>
      <w:r>
        <w:rPr>
          <w:spacing w:val="-2"/>
          <w:sz w:val="16"/>
        </w:rPr>
        <w:t> </w:t>
      </w:r>
      <w:r>
        <w:rPr>
          <w:sz w:val="16"/>
        </w:rPr>
        <w:t>for</w:t>
      </w:r>
      <w:r>
        <w:rPr>
          <w:spacing w:val="-3"/>
          <w:sz w:val="16"/>
        </w:rPr>
        <w:t> </w:t>
      </w:r>
      <w:r>
        <w:rPr>
          <w:sz w:val="16"/>
        </w:rPr>
        <w:t>calendar</w:t>
      </w:r>
      <w:r>
        <w:rPr>
          <w:spacing w:val="-2"/>
          <w:sz w:val="16"/>
        </w:rPr>
        <w:t> </w:t>
      </w:r>
      <w:r>
        <w:rPr>
          <w:sz w:val="16"/>
        </w:rPr>
        <w:t>year</w:t>
      </w:r>
      <w:r>
        <w:rPr>
          <w:spacing w:val="-3"/>
          <w:sz w:val="16"/>
        </w:rPr>
        <w:t> </w:t>
      </w:r>
      <w:r>
        <w:rPr>
          <w:sz w:val="16"/>
        </w:rPr>
        <w:t>2021,</w:t>
      </w:r>
      <w:r>
        <w:rPr>
          <w:spacing w:val="-5"/>
          <w:sz w:val="16"/>
        </w:rPr>
        <w:t> </w:t>
      </w:r>
      <w:r>
        <w:rPr>
          <w:sz w:val="16"/>
        </w:rPr>
        <w:t>T.</w:t>
      </w:r>
      <w:r>
        <w:rPr>
          <w:spacing w:val="-2"/>
          <w:sz w:val="16"/>
        </w:rPr>
        <w:t> </w:t>
      </w:r>
      <w:r>
        <w:rPr>
          <w:sz w:val="16"/>
        </w:rPr>
        <w:t>Rowe</w:t>
      </w:r>
      <w:r>
        <w:rPr>
          <w:spacing w:val="-4"/>
          <w:sz w:val="16"/>
        </w:rPr>
        <w:t> </w:t>
      </w:r>
      <w:r>
        <w:rPr>
          <w:sz w:val="16"/>
        </w:rPr>
        <w:t>Price</w:t>
      </w:r>
      <w:r>
        <w:rPr>
          <w:spacing w:val="-11"/>
          <w:sz w:val="16"/>
        </w:rPr>
        <w:t> </w:t>
      </w:r>
      <w:r>
        <w:rPr>
          <w:sz w:val="16"/>
        </w:rPr>
        <w:t>Associates,</w:t>
      </w:r>
      <w:r>
        <w:rPr>
          <w:spacing w:val="-2"/>
          <w:sz w:val="16"/>
        </w:rPr>
        <w:t> </w:t>
      </w:r>
      <w:r>
        <w:rPr>
          <w:sz w:val="16"/>
        </w:rPr>
        <w:t>Inc.</w:t>
      </w:r>
      <w:r>
        <w:rPr>
          <w:spacing w:val="-3"/>
          <w:sz w:val="16"/>
        </w:rPr>
        <w:t> </w:t>
      </w:r>
      <w:r>
        <w:rPr>
          <w:sz w:val="16"/>
        </w:rPr>
        <w:t>is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beneficial</w:t>
      </w:r>
      <w:r>
        <w:rPr>
          <w:spacing w:val="-2"/>
          <w:sz w:val="16"/>
        </w:rPr>
        <w:t> </w:t>
      </w:r>
      <w:r>
        <w:rPr>
          <w:sz w:val="16"/>
        </w:rPr>
        <w:t>owner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10,459,829</w:t>
      </w:r>
      <w:r>
        <w:rPr>
          <w:spacing w:val="1"/>
          <w:sz w:val="16"/>
        </w:rPr>
        <w:t> </w:t>
      </w:r>
      <w:r>
        <w:rPr>
          <w:sz w:val="16"/>
        </w:rPr>
        <w:t>shares of Common Stock and has sole voting power over 4,593,565 shares of Common Stock and sole dispositive power over 10,459,829</w:t>
      </w:r>
      <w:r>
        <w:rPr>
          <w:spacing w:val="1"/>
          <w:sz w:val="16"/>
        </w:rPr>
        <w:t> </w:t>
      </w:r>
      <w:r>
        <w:rPr>
          <w:sz w:val="16"/>
        </w:rPr>
        <w:t>shares</w:t>
      </w:r>
      <w:r>
        <w:rPr>
          <w:spacing w:val="-1"/>
          <w:sz w:val="16"/>
        </w:rPr>
        <w:t> </w:t>
      </w:r>
      <w:r>
        <w:rPr>
          <w:sz w:val="16"/>
        </w:rPr>
        <w:t>of Common</w:t>
      </w:r>
      <w:r>
        <w:rPr>
          <w:spacing w:val="-1"/>
          <w:sz w:val="16"/>
        </w:rPr>
        <w:t> </w:t>
      </w:r>
      <w:r>
        <w:rPr>
          <w:sz w:val="16"/>
        </w:rPr>
        <w:t>Stock.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240" w:h="15840"/>
          <w:pgMar w:header="0" w:footer="517" w:top="860" w:bottom="280" w:left="740" w:right="700"/>
        </w:sectPr>
      </w:pPr>
    </w:p>
    <w:p>
      <w:pPr>
        <w:pStyle w:val="Heading1"/>
        <w:ind w:left="65" w:right="98"/>
      </w:pPr>
      <w:bookmarkStart w:name="Security Ownership of Management and Dir" w:id="80"/>
      <w:bookmarkEnd w:id="80"/>
      <w:r>
        <w:rPr>
          <w:b w:val="0"/>
        </w:rPr>
      </w:r>
      <w:bookmarkStart w:name="_bookmark36" w:id="81"/>
      <w:bookmarkEnd w:id="81"/>
      <w:r>
        <w:rPr>
          <w:b w:val="0"/>
        </w:rPr>
      </w:r>
      <w:r>
        <w:rPr>
          <w:color w:val="00539E"/>
        </w:rPr>
        <w:t>SECURITY</w:t>
      </w:r>
      <w:r>
        <w:rPr>
          <w:color w:val="00539E"/>
          <w:spacing w:val="-4"/>
        </w:rPr>
        <w:t> </w:t>
      </w:r>
      <w:r>
        <w:rPr>
          <w:color w:val="00539E"/>
        </w:rPr>
        <w:t>OWNERSHIP</w:t>
      </w:r>
      <w:r>
        <w:rPr>
          <w:color w:val="00539E"/>
          <w:spacing w:val="-3"/>
        </w:rPr>
        <w:t> </w:t>
      </w:r>
      <w:r>
        <w:rPr>
          <w:color w:val="00539E"/>
        </w:rPr>
        <w:t>OF</w:t>
      </w:r>
      <w:r>
        <w:rPr>
          <w:color w:val="00539E"/>
          <w:spacing w:val="-3"/>
        </w:rPr>
        <w:t> </w:t>
      </w:r>
      <w:r>
        <w:rPr>
          <w:color w:val="00539E"/>
        </w:rPr>
        <w:t>MANAGEMENT</w:t>
      </w:r>
      <w:r>
        <w:rPr>
          <w:color w:val="00539E"/>
          <w:spacing w:val="-3"/>
        </w:rPr>
        <w:t> </w:t>
      </w:r>
      <w:r>
        <w:rPr>
          <w:color w:val="00539E"/>
        </w:rPr>
        <w:t>AND</w:t>
      </w:r>
      <w:r>
        <w:rPr>
          <w:color w:val="00539E"/>
          <w:spacing w:val="-3"/>
        </w:rPr>
        <w:t> </w:t>
      </w:r>
      <w:r>
        <w:rPr>
          <w:color w:val="00539E"/>
        </w:rPr>
        <w:t>DIRECTORS</w:t>
      </w:r>
    </w:p>
    <w:p>
      <w:pPr>
        <w:pStyle w:val="BodyText"/>
        <w:spacing w:line="249" w:lineRule="auto" w:before="221"/>
        <w:ind w:left="250" w:right="282"/>
      </w:pPr>
      <w:r>
        <w:rPr/>
        <w:t>The following table sets forth, as of February 18, 2022, certain information with respect to the Common Stock that</w:t>
      </w:r>
      <w:r>
        <w:rPr>
          <w:spacing w:val="1"/>
        </w:rPr>
        <w:t> </w:t>
      </w:r>
      <w:r>
        <w:rPr/>
        <w:t>may be deemed to be beneficially owned by each Director of the Company, by the NEOs and by all such Directors</w:t>
      </w:r>
      <w:r>
        <w:rPr>
          <w:spacing w:val="1"/>
        </w:rPr>
        <w:t> </w:t>
      </w:r>
      <w:r>
        <w:rPr/>
        <w:t>and Executive Officers as a group. The address for each of the Directors and Executive Officers is c/o Equity</w:t>
      </w:r>
      <w:r>
        <w:rPr>
          <w:spacing w:val="1"/>
        </w:rPr>
        <w:t> </w:t>
      </w:r>
      <w:r>
        <w:rPr/>
        <w:t>LifeStyle</w:t>
      </w:r>
      <w:r>
        <w:rPr>
          <w:spacing w:val="-7"/>
        </w:rPr>
        <w:t> </w:t>
      </w:r>
      <w:r>
        <w:rPr/>
        <w:t>Properties,</w:t>
      </w:r>
      <w:r>
        <w:rPr>
          <w:spacing w:val="-6"/>
        </w:rPr>
        <w:t> </w:t>
      </w:r>
      <w:r>
        <w:rPr/>
        <w:t>Inc.,</w:t>
      </w:r>
      <w:r>
        <w:rPr>
          <w:spacing w:val="-10"/>
        </w:rPr>
        <w:t> </w:t>
      </w:r>
      <w:r>
        <w:rPr/>
        <w:t>Two</w:t>
      </w:r>
      <w:r>
        <w:rPr>
          <w:spacing w:val="-6"/>
        </w:rPr>
        <w:t> </w:t>
      </w:r>
      <w:r>
        <w:rPr/>
        <w:t>North</w:t>
      </w:r>
      <w:r>
        <w:rPr>
          <w:spacing w:val="-7"/>
        </w:rPr>
        <w:t> </w:t>
      </w:r>
      <w:r>
        <w:rPr/>
        <w:t>Riverside</w:t>
      </w:r>
      <w:r>
        <w:rPr>
          <w:spacing w:val="-6"/>
        </w:rPr>
        <w:t> </w:t>
      </w:r>
      <w:r>
        <w:rPr/>
        <w:t>Plaza,</w:t>
      </w:r>
      <w:r>
        <w:rPr>
          <w:spacing w:val="-7"/>
        </w:rPr>
        <w:t> </w:t>
      </w:r>
      <w:r>
        <w:rPr/>
        <w:t>Suite</w:t>
      </w:r>
      <w:r>
        <w:rPr>
          <w:spacing w:val="-6"/>
        </w:rPr>
        <w:t> </w:t>
      </w:r>
      <w:r>
        <w:rPr/>
        <w:t>800,</w:t>
      </w:r>
      <w:r>
        <w:rPr>
          <w:spacing w:val="-7"/>
        </w:rPr>
        <w:t> </w:t>
      </w:r>
      <w:r>
        <w:rPr/>
        <w:t>Chicago,</w:t>
      </w:r>
      <w:r>
        <w:rPr>
          <w:spacing w:val="-6"/>
        </w:rPr>
        <w:t> </w:t>
      </w:r>
      <w:r>
        <w:rPr/>
        <w:t>Illinois</w:t>
      </w:r>
      <w:r>
        <w:rPr>
          <w:spacing w:val="-7"/>
        </w:rPr>
        <w:t> </w:t>
      </w:r>
      <w:r>
        <w:rPr/>
        <w:t>60606.</w:t>
      </w:r>
      <w:r>
        <w:rPr>
          <w:spacing w:val="-6"/>
        </w:rPr>
        <w:t> </w:t>
      </w:r>
      <w:r>
        <w:rPr/>
        <w:t>Unless</w:t>
      </w:r>
      <w:r>
        <w:rPr>
          <w:spacing w:val="-7"/>
        </w:rPr>
        <w:t> </w:t>
      </w:r>
      <w:r>
        <w:rPr/>
        <w:t>otherwise</w:t>
      </w:r>
      <w:r>
        <w:rPr>
          <w:spacing w:val="-6"/>
        </w:rPr>
        <w:t> </w:t>
      </w:r>
      <w:r>
        <w:rPr/>
        <w:t>indicated,</w:t>
      </w:r>
      <w:r>
        <w:rPr>
          <w:spacing w:val="1"/>
        </w:rPr>
        <w:t> </w:t>
      </w:r>
      <w:r>
        <w:rPr/>
        <w:t>each</w:t>
      </w:r>
      <w:r>
        <w:rPr>
          <w:spacing w:val="-5"/>
        </w:rPr>
        <w:t> </w:t>
      </w:r>
      <w:r>
        <w:rPr/>
        <w:t>person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sole</w:t>
      </w:r>
      <w:r>
        <w:rPr>
          <w:spacing w:val="-4"/>
        </w:rPr>
        <w:t> </w:t>
      </w:r>
      <w:r>
        <w:rPr/>
        <w:t>investment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voting</w:t>
      </w:r>
      <w:r>
        <w:rPr>
          <w:spacing w:val="-4"/>
        </w:rPr>
        <w:t> </w:t>
      </w:r>
      <w:r>
        <w:rPr/>
        <w:t>power,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shares</w:t>
      </w:r>
      <w:r>
        <w:rPr>
          <w:spacing w:val="-4"/>
        </w:rPr>
        <w:t> </w:t>
      </w:r>
      <w:r>
        <w:rPr/>
        <w:t>such</w:t>
      </w:r>
      <w:r>
        <w:rPr>
          <w:spacing w:val="-4"/>
        </w:rPr>
        <w:t> </w:t>
      </w:r>
      <w:r>
        <w:rPr/>
        <w:t>power</w:t>
      </w:r>
      <w:r>
        <w:rPr>
          <w:spacing w:val="-4"/>
        </w:rPr>
        <w:t> </w:t>
      </w:r>
      <w:r>
        <w:rPr/>
        <w:t>with</w:t>
      </w:r>
      <w:r>
        <w:rPr>
          <w:spacing w:val="-5"/>
        </w:rPr>
        <w:t> </w:t>
      </w:r>
      <w:r>
        <w:rPr/>
        <w:t>his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her</w:t>
      </w:r>
      <w:r>
        <w:rPr>
          <w:spacing w:val="-4"/>
        </w:rPr>
        <w:t> </w:t>
      </w:r>
      <w:r>
        <w:rPr/>
        <w:t>spouse,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respect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Common</w:t>
      </w:r>
      <w:r>
        <w:rPr>
          <w:spacing w:val="-2"/>
        </w:rPr>
        <w:t> </w:t>
      </w:r>
      <w:r>
        <w:rPr/>
        <w:t>Stock</w:t>
      </w:r>
      <w:r>
        <w:rPr>
          <w:spacing w:val="-1"/>
        </w:rPr>
        <w:t> </w:t>
      </w:r>
      <w:r>
        <w:rPr/>
        <w:t>set</w:t>
      </w:r>
      <w:r>
        <w:rPr>
          <w:spacing w:val="-1"/>
        </w:rPr>
        <w:t> </w:t>
      </w:r>
      <w:r>
        <w:rPr/>
        <w:t>forth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table.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8"/>
        <w:rPr>
          <w:sz w:val="24"/>
        </w:rPr>
      </w:pPr>
    </w:p>
    <w:p>
      <w:pPr>
        <w:spacing w:before="0"/>
        <w:ind w:left="1420" w:right="0" w:firstLine="0"/>
        <w:jc w:val="left"/>
        <w:rPr>
          <w:b/>
          <w:sz w:val="16"/>
        </w:rPr>
      </w:pPr>
      <w:r>
        <w:rPr>
          <w:b/>
          <w:sz w:val="16"/>
        </w:rPr>
        <w:t>Name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Beneficial</w:t>
      </w:r>
      <w:r>
        <w:rPr>
          <w:b/>
          <w:spacing w:val="-4"/>
          <w:sz w:val="16"/>
        </w:rPr>
        <w:t> </w:t>
      </w:r>
      <w:r>
        <w:rPr>
          <w:b/>
          <w:sz w:val="16"/>
        </w:rPr>
        <w:t>Holder</w:t>
      </w:r>
    </w:p>
    <w:p>
      <w:pPr>
        <w:spacing w:line="240" w:lineRule="auto" w:before="6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line="235" w:lineRule="auto" w:before="0"/>
        <w:ind w:left="1360" w:right="0" w:hanging="18"/>
        <w:jc w:val="both"/>
        <w:rPr>
          <w:b/>
          <w:sz w:val="16"/>
        </w:rPr>
      </w:pPr>
      <w:r>
        <w:rPr>
          <w:b/>
          <w:spacing w:val="-1"/>
          <w:sz w:val="16"/>
        </w:rPr>
        <w:t>Shares of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Common</w:t>
      </w:r>
      <w:r>
        <w:rPr>
          <w:b/>
          <w:spacing w:val="-43"/>
          <w:sz w:val="16"/>
        </w:rPr>
        <w:t> </w:t>
      </w:r>
      <w:r>
        <w:rPr>
          <w:b/>
          <w:sz w:val="16"/>
        </w:rPr>
        <w:t>Stock</w:t>
      </w:r>
      <w:r>
        <w:rPr>
          <w:b/>
          <w:spacing w:val="1"/>
          <w:sz w:val="16"/>
        </w:rPr>
        <w:t> </w:t>
      </w:r>
      <w:r>
        <w:rPr>
          <w:b/>
          <w:sz w:val="16"/>
          <w:vertAlign w:val="superscript"/>
        </w:rPr>
        <w:t>(1)</w:t>
      </w:r>
    </w:p>
    <w:p>
      <w:pPr>
        <w:spacing w:line="235" w:lineRule="auto" w:before="159"/>
        <w:ind w:left="397" w:right="0" w:firstLine="0"/>
        <w:jc w:val="center"/>
        <w:rPr>
          <w:b/>
          <w:sz w:val="16"/>
        </w:rPr>
      </w:pPr>
      <w:r>
        <w:rPr/>
        <w:br w:type="column"/>
      </w:r>
      <w:r>
        <w:rPr>
          <w:b/>
          <w:spacing w:val="-1"/>
          <w:sz w:val="16"/>
        </w:rPr>
        <w:t>Common Stock</w:t>
      </w:r>
      <w:r>
        <w:rPr>
          <w:b/>
          <w:spacing w:val="-42"/>
          <w:sz w:val="16"/>
        </w:rPr>
        <w:t> </w:t>
      </w:r>
      <w:r>
        <w:rPr>
          <w:b/>
          <w:sz w:val="16"/>
        </w:rPr>
        <w:t>Shares Upon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Exercise of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Options</w:t>
      </w:r>
      <w:r>
        <w:rPr>
          <w:b/>
          <w:spacing w:val="-1"/>
          <w:sz w:val="16"/>
        </w:rPr>
        <w:t> </w:t>
      </w:r>
      <w:r>
        <w:rPr>
          <w:b/>
          <w:sz w:val="16"/>
          <w:vertAlign w:val="superscript"/>
        </w:rPr>
        <w:t>(2)</w:t>
      </w:r>
    </w:p>
    <w:p>
      <w:pPr>
        <w:spacing w:line="240" w:lineRule="auto" w:before="0"/>
        <w:rPr>
          <w:b/>
          <w:sz w:val="18"/>
        </w:rPr>
      </w:pPr>
      <w:r>
        <w:rPr/>
        <w:br w:type="column"/>
      </w:r>
      <w:r>
        <w:rPr>
          <w:b/>
          <w:sz w:val="18"/>
        </w:rPr>
      </w:r>
    </w:p>
    <w:p>
      <w:pPr>
        <w:pStyle w:val="BodyText"/>
        <w:rPr>
          <w:b/>
          <w:sz w:val="18"/>
        </w:rPr>
      </w:pPr>
    </w:p>
    <w:p>
      <w:pPr>
        <w:spacing w:line="235" w:lineRule="auto" w:before="106"/>
        <w:ind w:left="362" w:right="-12" w:firstLine="9"/>
        <w:jc w:val="left"/>
        <w:rPr>
          <w:b/>
          <w:sz w:val="16"/>
        </w:rPr>
      </w:pPr>
      <w:r>
        <w:rPr>
          <w:b/>
          <w:sz w:val="16"/>
        </w:rPr>
        <w:t>Total Shares of</w:t>
      </w:r>
      <w:r>
        <w:rPr>
          <w:b/>
          <w:spacing w:val="-42"/>
          <w:sz w:val="16"/>
        </w:rPr>
        <w:t> </w:t>
      </w:r>
      <w:r>
        <w:rPr>
          <w:b/>
          <w:spacing w:val="-1"/>
          <w:sz w:val="16"/>
        </w:rPr>
        <w:t>Common</w:t>
      </w:r>
      <w:r>
        <w:rPr>
          <w:b/>
          <w:spacing w:val="-7"/>
          <w:sz w:val="16"/>
        </w:rPr>
        <w:t> </w:t>
      </w:r>
      <w:r>
        <w:rPr>
          <w:b/>
          <w:spacing w:val="-1"/>
          <w:sz w:val="16"/>
        </w:rPr>
        <w:t>Stock</w:t>
      </w:r>
    </w:p>
    <w:p>
      <w:pPr>
        <w:spacing w:line="240" w:lineRule="auto" w:before="6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line="235" w:lineRule="auto" w:before="0"/>
        <w:ind w:left="282" w:right="701" w:firstLine="130"/>
        <w:jc w:val="both"/>
        <w:rPr>
          <w:b/>
          <w:sz w:val="16"/>
        </w:rPr>
      </w:pPr>
      <w:r>
        <w:rPr>
          <w:b/>
          <w:sz w:val="16"/>
        </w:rPr>
        <w:t>Percentage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of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Common</w:t>
      </w:r>
      <w:r>
        <w:rPr>
          <w:b/>
          <w:spacing w:val="1"/>
          <w:sz w:val="16"/>
        </w:rPr>
        <w:t> </w:t>
      </w:r>
      <w:r>
        <w:rPr>
          <w:b/>
          <w:sz w:val="16"/>
        </w:rPr>
        <w:t>Stock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Class</w:t>
      </w:r>
      <w:r>
        <w:rPr>
          <w:b/>
          <w:spacing w:val="-6"/>
          <w:sz w:val="16"/>
        </w:rPr>
        <w:t> </w:t>
      </w:r>
      <w:r>
        <w:rPr>
          <w:b/>
          <w:sz w:val="16"/>
          <w:vertAlign w:val="superscript"/>
        </w:rPr>
        <w:t>(3)</w:t>
      </w:r>
    </w:p>
    <w:p>
      <w:pPr>
        <w:spacing w:after="0" w:line="235" w:lineRule="auto"/>
        <w:jc w:val="both"/>
        <w:rPr>
          <w:sz w:val="16"/>
        </w:rPr>
        <w:sectPr>
          <w:type w:val="continuous"/>
          <w:pgSz w:w="12240" w:h="15840"/>
          <w:pgMar w:header="0" w:footer="517" w:top="860" w:bottom="280" w:left="740" w:right="700"/>
          <w:cols w:num="5" w:equalWidth="0">
            <w:col w:w="3401" w:space="40"/>
            <w:col w:w="2071" w:space="39"/>
            <w:col w:w="1570" w:space="40"/>
            <w:col w:w="1535" w:space="40"/>
            <w:col w:w="2064"/>
          </w:cols>
        </w:sectPr>
      </w:pPr>
    </w:p>
    <w:p>
      <w:pPr>
        <w:pStyle w:val="BodyText"/>
        <w:spacing w:before="7"/>
        <w:rPr>
          <w:b/>
          <w:sz w:val="2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70"/>
        <w:gridCol w:w="1564"/>
        <w:gridCol w:w="1463"/>
        <w:gridCol w:w="1413"/>
        <w:gridCol w:w="1176"/>
      </w:tblGrid>
      <w:tr>
        <w:trPr>
          <w:trHeight w:val="235" w:hRule="atLeast"/>
        </w:trPr>
        <w:tc>
          <w:tcPr>
            <w:tcW w:w="4370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Andrew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Berkenfield</w:t>
            </w:r>
          </w:p>
        </w:tc>
        <w:tc>
          <w:tcPr>
            <w:tcW w:w="1564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529</w:t>
            </w:r>
          </w:p>
        </w:tc>
        <w:tc>
          <w:tcPr>
            <w:tcW w:w="1463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7,415</w:t>
            </w:r>
          </w:p>
        </w:tc>
        <w:tc>
          <w:tcPr>
            <w:tcW w:w="1413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7,944</w:t>
            </w:r>
          </w:p>
        </w:tc>
        <w:tc>
          <w:tcPr>
            <w:tcW w:w="1176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Derrick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Burks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1,637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1,637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Philip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Calian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207,372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207,372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Contis </w:t>
            </w:r>
            <w:r>
              <w:rPr>
                <w:sz w:val="16"/>
                <w:vertAlign w:val="superscript"/>
              </w:rPr>
              <w:t>(4)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21,003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21,003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David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Eldersveld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70,466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70,466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Constance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Freedman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5,127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8,535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13,662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Thomas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Heneghan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  <w:vertAlign w:val="superscript"/>
              </w:rPr>
              <w:t>(5)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396,802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396,802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4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Roger Maynard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  <w:vertAlign w:val="superscript"/>
              </w:rPr>
              <w:t>(6)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269,220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269,220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Marguerite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Nader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260,330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260,330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Scott</w:t>
            </w:r>
            <w:r>
              <w:rPr>
                <w:spacing w:val="1"/>
                <w:sz w:val="16"/>
              </w:rPr>
              <w:t> </w:t>
            </w:r>
            <w:r>
              <w:rPr>
                <w:sz w:val="16"/>
              </w:rPr>
              <w:t>Peppet</w:t>
            </w:r>
            <w:r>
              <w:rPr>
                <w:spacing w:val="-16"/>
                <w:sz w:val="16"/>
              </w:rPr>
              <w:t> </w:t>
            </w:r>
            <w:r>
              <w:rPr>
                <w:sz w:val="16"/>
                <w:vertAlign w:val="superscript"/>
              </w:rPr>
              <w:t>(7)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9,598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9,598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Sheli Rosenberg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  <w:vertAlign w:val="superscript"/>
              </w:rPr>
              <w:t>(8)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599"/>
              <w:rPr>
                <w:sz w:val="16"/>
              </w:rPr>
            </w:pPr>
            <w:r>
              <w:rPr>
                <w:sz w:val="16"/>
              </w:rPr>
              <w:t>1,116,954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sz w:val="16"/>
              </w:rPr>
              <w:t>1,116,954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Paul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Seavey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153,029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153,029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Patrick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Waite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600"/>
              <w:rPr>
                <w:sz w:val="16"/>
              </w:rPr>
            </w:pPr>
            <w:r>
              <w:rPr>
                <w:sz w:val="16"/>
              </w:rPr>
              <w:t>215,129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6"/>
              <w:rPr>
                <w:sz w:val="16"/>
              </w:rPr>
            </w:pPr>
            <w:r>
              <w:rPr>
                <w:sz w:val="16"/>
              </w:rPr>
              <w:t>215,129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178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>
        <w:trPr>
          <w:trHeight w:val="23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Samuel Zell </w:t>
            </w:r>
            <w:r>
              <w:rPr>
                <w:sz w:val="16"/>
                <w:vertAlign w:val="superscript"/>
              </w:rPr>
              <w:t>(9)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599"/>
              <w:rPr>
                <w:sz w:val="16"/>
              </w:rPr>
            </w:pPr>
            <w:r>
              <w:rPr>
                <w:sz w:val="16"/>
              </w:rPr>
              <w:t>6,328,636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68"/>
              <w:rPr>
                <w:sz w:val="16"/>
              </w:rPr>
            </w:pPr>
            <w:r>
              <w:rPr>
                <w:sz w:val="16"/>
              </w:rPr>
              <w:t>—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right="325"/>
              <w:rPr>
                <w:sz w:val="16"/>
              </w:rPr>
            </w:pPr>
            <w:r>
              <w:rPr>
                <w:sz w:val="16"/>
              </w:rPr>
              <w:t>6,328,636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ind w:left="96" w:right="237"/>
              <w:jc w:val="center"/>
              <w:rPr>
                <w:sz w:val="16"/>
              </w:rPr>
            </w:pPr>
            <w:r>
              <w:rPr>
                <w:sz w:val="16"/>
              </w:rPr>
              <w:t>3.5%</w:t>
            </w:r>
          </w:p>
        </w:tc>
      </w:tr>
      <w:tr>
        <w:trPr>
          <w:trHeight w:val="415" w:hRule="atLeast"/>
        </w:trPr>
        <w:tc>
          <w:tcPr>
            <w:tcW w:w="4370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97"/>
              <w:jc w:val="left"/>
              <w:rPr>
                <w:sz w:val="16"/>
              </w:rPr>
            </w:pPr>
            <w:r>
              <w:rPr>
                <w:sz w:val="16"/>
              </w:rPr>
              <w:t>Directors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and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Executive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Officers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group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(14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persons)</w:t>
            </w:r>
          </w:p>
        </w:tc>
        <w:tc>
          <w:tcPr>
            <w:tcW w:w="1564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599"/>
              <w:rPr>
                <w:sz w:val="16"/>
              </w:rPr>
            </w:pPr>
            <w:r>
              <w:rPr>
                <w:sz w:val="16"/>
              </w:rPr>
              <w:t>9,055,832</w:t>
            </w:r>
          </w:p>
        </w:tc>
        <w:tc>
          <w:tcPr>
            <w:tcW w:w="1463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368"/>
              <w:rPr>
                <w:sz w:val="16"/>
              </w:rPr>
            </w:pPr>
            <w:r>
              <w:rPr>
                <w:sz w:val="16"/>
              </w:rPr>
              <w:t>15,950</w:t>
            </w:r>
          </w:p>
        </w:tc>
        <w:tc>
          <w:tcPr>
            <w:tcW w:w="1413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right="325"/>
              <w:rPr>
                <w:sz w:val="16"/>
              </w:rPr>
            </w:pPr>
            <w:r>
              <w:rPr>
                <w:sz w:val="16"/>
              </w:rPr>
              <w:t>9,071,782</w:t>
            </w:r>
          </w:p>
        </w:tc>
        <w:tc>
          <w:tcPr>
            <w:tcW w:w="1176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40" w:lineRule="auto" w:before="4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0"/>
              <w:ind w:left="96" w:right="237"/>
              <w:jc w:val="center"/>
              <w:rPr>
                <w:sz w:val="16"/>
              </w:rPr>
            </w:pPr>
            <w:r>
              <w:rPr>
                <w:sz w:val="16"/>
              </w:rPr>
              <w:t>5.0%</w:t>
            </w:r>
          </w:p>
        </w:tc>
      </w:tr>
    </w:tbl>
    <w:p>
      <w:pPr>
        <w:spacing w:before="47"/>
        <w:ind w:left="610" w:right="0" w:firstLine="0"/>
        <w:jc w:val="left"/>
        <w:rPr>
          <w:sz w:val="16"/>
        </w:rPr>
      </w:pPr>
      <w:r>
        <w:rPr>
          <w:sz w:val="16"/>
        </w:rPr>
        <w:t>*</w:t>
      </w:r>
      <w:r>
        <w:rPr>
          <w:spacing w:val="-2"/>
          <w:sz w:val="16"/>
        </w:rPr>
        <w:t> </w:t>
      </w:r>
      <w:r>
        <w:rPr>
          <w:sz w:val="16"/>
        </w:rPr>
        <w:t>Less</w:t>
      </w:r>
      <w:r>
        <w:rPr>
          <w:spacing w:val="-1"/>
          <w:sz w:val="16"/>
        </w:rPr>
        <w:t> </w:t>
      </w:r>
      <w:r>
        <w:rPr>
          <w:sz w:val="16"/>
        </w:rPr>
        <w:t>than</w:t>
      </w:r>
      <w:r>
        <w:rPr>
          <w:spacing w:val="-2"/>
          <w:sz w:val="16"/>
        </w:rPr>
        <w:t> </w:t>
      </w:r>
      <w:r>
        <w:rPr>
          <w:sz w:val="16"/>
        </w:rPr>
        <w:t>1%</w:t>
      </w:r>
    </w:p>
    <w:p>
      <w:pPr>
        <w:pStyle w:val="ListParagraph"/>
        <w:numPr>
          <w:ilvl w:val="1"/>
          <w:numId w:val="21"/>
        </w:numPr>
        <w:tabs>
          <w:tab w:pos="970" w:val="left" w:leader="none"/>
        </w:tabs>
        <w:spacing w:line="249" w:lineRule="auto" w:before="68" w:after="0"/>
        <w:ind w:left="970" w:right="286" w:hanging="360"/>
        <w:jc w:val="left"/>
        <w:rPr>
          <w:sz w:val="16"/>
        </w:rPr>
      </w:pPr>
      <w:r>
        <w:rPr>
          <w:sz w:val="16"/>
        </w:rPr>
        <w:t>The Operating Partnership is the entity through which the Company conducts substantially all of its operations. Certain limited partners</w:t>
      </w:r>
      <w:r>
        <w:rPr>
          <w:spacing w:val="-42"/>
          <w:sz w:val="16"/>
        </w:rPr>
        <w:t> </w:t>
      </w:r>
      <w:r>
        <w:rPr>
          <w:sz w:val="16"/>
        </w:rPr>
        <w:t>of</w:t>
      </w:r>
      <w:r>
        <w:rPr>
          <w:spacing w:val="1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Operating</w:t>
      </w:r>
      <w:r>
        <w:rPr>
          <w:spacing w:val="1"/>
          <w:sz w:val="16"/>
        </w:rPr>
        <w:t> </w:t>
      </w:r>
      <w:r>
        <w:rPr>
          <w:sz w:val="16"/>
        </w:rPr>
        <w:t>Partnership</w:t>
      </w:r>
      <w:r>
        <w:rPr>
          <w:spacing w:val="1"/>
          <w:sz w:val="16"/>
        </w:rPr>
        <w:t> </w:t>
      </w:r>
      <w:r>
        <w:rPr>
          <w:sz w:val="16"/>
        </w:rPr>
        <w:t>own</w:t>
      </w:r>
      <w:r>
        <w:rPr>
          <w:spacing w:val="1"/>
          <w:sz w:val="16"/>
        </w:rPr>
        <w:t> </w:t>
      </w:r>
      <w:r>
        <w:rPr>
          <w:sz w:val="16"/>
        </w:rPr>
        <w:t>OP</w:t>
      </w:r>
      <w:r>
        <w:rPr>
          <w:spacing w:val="-1"/>
          <w:sz w:val="16"/>
        </w:rPr>
        <w:t> </w:t>
      </w:r>
      <w:r>
        <w:rPr>
          <w:sz w:val="16"/>
        </w:rPr>
        <w:t>Units</w:t>
      </w:r>
      <w:r>
        <w:rPr>
          <w:spacing w:val="2"/>
          <w:sz w:val="16"/>
        </w:rPr>
        <w:t> </w:t>
      </w:r>
      <w:r>
        <w:rPr>
          <w:sz w:val="16"/>
        </w:rPr>
        <w:t>which</w:t>
      </w:r>
      <w:r>
        <w:rPr>
          <w:spacing w:val="1"/>
          <w:sz w:val="16"/>
        </w:rPr>
        <w:t> </w:t>
      </w:r>
      <w:r>
        <w:rPr>
          <w:sz w:val="16"/>
        </w:rPr>
        <w:t>are exchangeable</w:t>
      </w:r>
      <w:r>
        <w:rPr>
          <w:spacing w:val="1"/>
          <w:sz w:val="16"/>
        </w:rPr>
        <w:t> </w:t>
      </w:r>
      <w:r>
        <w:rPr>
          <w:sz w:val="16"/>
        </w:rPr>
        <w:t>for</w:t>
      </w:r>
      <w:r>
        <w:rPr>
          <w:spacing w:val="2"/>
          <w:sz w:val="16"/>
        </w:rPr>
        <w:t> </w:t>
      </w:r>
      <w:r>
        <w:rPr>
          <w:sz w:val="16"/>
        </w:rPr>
        <w:t>an</w:t>
      </w:r>
      <w:r>
        <w:rPr>
          <w:spacing w:val="1"/>
          <w:sz w:val="16"/>
        </w:rPr>
        <w:t> </w:t>
      </w:r>
      <w:r>
        <w:rPr>
          <w:sz w:val="16"/>
        </w:rPr>
        <w:t>equivalent</w:t>
      </w:r>
      <w:r>
        <w:rPr>
          <w:spacing w:val="2"/>
          <w:sz w:val="16"/>
        </w:rPr>
        <w:t> </w:t>
      </w:r>
      <w:r>
        <w:rPr>
          <w:sz w:val="16"/>
        </w:rPr>
        <w:t>number</w:t>
      </w:r>
      <w:r>
        <w:rPr>
          <w:spacing w:val="2"/>
          <w:sz w:val="16"/>
        </w:rPr>
        <w:t> </w:t>
      </w:r>
      <w:r>
        <w:rPr>
          <w:sz w:val="16"/>
        </w:rPr>
        <w:t>of</w:t>
      </w:r>
      <w:r>
        <w:rPr>
          <w:spacing w:val="2"/>
          <w:sz w:val="16"/>
        </w:rPr>
        <w:t> </w:t>
      </w:r>
      <w:r>
        <w:rPr>
          <w:sz w:val="16"/>
        </w:rPr>
        <w:t>shares</w:t>
      </w:r>
      <w:r>
        <w:rPr>
          <w:spacing w:val="1"/>
          <w:sz w:val="16"/>
        </w:rPr>
        <w:t> </w:t>
      </w:r>
      <w:r>
        <w:rPr>
          <w:sz w:val="16"/>
        </w:rPr>
        <w:t>of</w:t>
      </w:r>
      <w:r>
        <w:rPr>
          <w:spacing w:val="2"/>
          <w:sz w:val="16"/>
        </w:rPr>
        <w:t> </w:t>
      </w:r>
      <w:r>
        <w:rPr>
          <w:sz w:val="16"/>
        </w:rPr>
        <w:t>Common</w:t>
      </w:r>
      <w:r>
        <w:rPr>
          <w:spacing w:val="1"/>
          <w:sz w:val="16"/>
        </w:rPr>
        <w:t> </w:t>
      </w:r>
      <w:r>
        <w:rPr>
          <w:sz w:val="16"/>
        </w:rPr>
        <w:t>Stock.</w:t>
      </w:r>
      <w:r>
        <w:rPr>
          <w:spacing w:val="42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shares of Common Stock beneficially owned includes OP Units that can be exchanged for an equivalent number of shares of Common</w:t>
      </w:r>
      <w:r>
        <w:rPr>
          <w:spacing w:val="-42"/>
          <w:sz w:val="16"/>
        </w:rPr>
        <w:t> </w:t>
      </w:r>
      <w:r>
        <w:rPr>
          <w:sz w:val="16"/>
        </w:rPr>
        <w:t>Stock.</w:t>
      </w:r>
    </w:p>
    <w:p>
      <w:pPr>
        <w:pStyle w:val="ListParagraph"/>
        <w:numPr>
          <w:ilvl w:val="1"/>
          <w:numId w:val="21"/>
        </w:numPr>
        <w:tabs>
          <w:tab w:pos="970" w:val="left" w:leader="none"/>
        </w:tabs>
        <w:spacing w:line="249" w:lineRule="auto" w:before="63" w:after="0"/>
        <w:ind w:left="970" w:right="383" w:hanging="360"/>
        <w:jc w:val="left"/>
        <w:rPr>
          <w:sz w:val="16"/>
        </w:rPr>
      </w:pP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amounts</w:t>
      </w:r>
      <w:r>
        <w:rPr>
          <w:spacing w:val="-4"/>
          <w:sz w:val="16"/>
        </w:rPr>
        <w:t> </w:t>
      </w:r>
      <w:r>
        <w:rPr>
          <w:sz w:val="16"/>
        </w:rPr>
        <w:t>shown</w:t>
      </w:r>
      <w:r>
        <w:rPr>
          <w:spacing w:val="-4"/>
          <w:sz w:val="16"/>
        </w:rPr>
        <w:t> </w:t>
      </w:r>
      <w:r>
        <w:rPr>
          <w:sz w:val="16"/>
        </w:rPr>
        <w:t>in</w:t>
      </w:r>
      <w:r>
        <w:rPr>
          <w:spacing w:val="-4"/>
          <w:sz w:val="16"/>
        </w:rPr>
        <w:t> </w:t>
      </w:r>
      <w:r>
        <w:rPr>
          <w:sz w:val="16"/>
        </w:rPr>
        <w:t>this</w:t>
      </w:r>
      <w:r>
        <w:rPr>
          <w:spacing w:val="-3"/>
          <w:sz w:val="16"/>
        </w:rPr>
        <w:t> </w:t>
      </w:r>
      <w:r>
        <w:rPr>
          <w:sz w:val="16"/>
        </w:rPr>
        <w:t>column</w:t>
      </w:r>
      <w:r>
        <w:rPr>
          <w:spacing w:val="-4"/>
          <w:sz w:val="16"/>
        </w:rPr>
        <w:t> </w:t>
      </w:r>
      <w:r>
        <w:rPr>
          <w:sz w:val="16"/>
        </w:rPr>
        <w:t>reflect</w:t>
      </w:r>
      <w:r>
        <w:rPr>
          <w:spacing w:val="-3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underlying</w:t>
      </w:r>
      <w:r>
        <w:rPr>
          <w:spacing w:val="-4"/>
          <w:sz w:val="16"/>
        </w:rPr>
        <w:t> </w:t>
      </w:r>
      <w:r>
        <w:rPr>
          <w:sz w:val="16"/>
        </w:rPr>
        <w:t>options,</w:t>
      </w:r>
      <w:r>
        <w:rPr>
          <w:spacing w:val="-3"/>
          <w:sz w:val="16"/>
        </w:rPr>
        <w:t> </w:t>
      </w:r>
      <w:r>
        <w:rPr>
          <w:sz w:val="16"/>
        </w:rPr>
        <w:t>which</w:t>
      </w:r>
      <w:r>
        <w:rPr>
          <w:spacing w:val="-4"/>
          <w:sz w:val="16"/>
        </w:rPr>
        <w:t> </w:t>
      </w:r>
      <w:r>
        <w:rPr>
          <w:sz w:val="16"/>
        </w:rPr>
        <w:t>are</w:t>
      </w:r>
      <w:r>
        <w:rPr>
          <w:spacing w:val="-4"/>
          <w:sz w:val="16"/>
        </w:rPr>
        <w:t> </w:t>
      </w:r>
      <w:r>
        <w:rPr>
          <w:sz w:val="16"/>
        </w:rPr>
        <w:t>currently</w:t>
      </w:r>
      <w:r>
        <w:rPr>
          <w:spacing w:val="-3"/>
          <w:sz w:val="16"/>
        </w:rPr>
        <w:t> </w:t>
      </w:r>
      <w:r>
        <w:rPr>
          <w:sz w:val="16"/>
        </w:rPr>
        <w:t>exercisable</w:t>
      </w:r>
      <w:r>
        <w:rPr>
          <w:spacing w:val="-4"/>
          <w:sz w:val="16"/>
        </w:rPr>
        <w:t> </w:t>
      </w:r>
      <w:r>
        <w:rPr>
          <w:sz w:val="16"/>
        </w:rPr>
        <w:t>or</w:t>
      </w:r>
      <w:r>
        <w:rPr>
          <w:spacing w:val="-3"/>
          <w:sz w:val="16"/>
        </w:rPr>
        <w:t> </w:t>
      </w:r>
      <w:r>
        <w:rPr>
          <w:sz w:val="16"/>
        </w:rPr>
        <w:t>exercisable</w:t>
      </w:r>
      <w:r>
        <w:rPr>
          <w:spacing w:val="1"/>
          <w:sz w:val="16"/>
        </w:rPr>
        <w:t> </w:t>
      </w:r>
      <w:r>
        <w:rPr>
          <w:sz w:val="16"/>
        </w:rPr>
        <w:t>within</w:t>
      </w:r>
      <w:r>
        <w:rPr>
          <w:spacing w:val="-2"/>
          <w:sz w:val="16"/>
        </w:rPr>
        <w:t> </w:t>
      </w:r>
      <w:r>
        <w:rPr>
          <w:sz w:val="16"/>
        </w:rPr>
        <w:t>60</w:t>
      </w:r>
      <w:r>
        <w:rPr>
          <w:spacing w:val="-1"/>
          <w:sz w:val="16"/>
        </w:rPr>
        <w:t> </w:t>
      </w:r>
      <w:r>
        <w:rPr>
          <w:sz w:val="16"/>
        </w:rPr>
        <w:t>days of the</w:t>
      </w:r>
      <w:r>
        <w:rPr>
          <w:spacing w:val="-1"/>
          <w:sz w:val="16"/>
        </w:rPr>
        <w:t> </w:t>
      </w:r>
      <w:r>
        <w:rPr>
          <w:sz w:val="16"/>
        </w:rPr>
        <w:t>Record</w:t>
      </w:r>
      <w:r>
        <w:rPr>
          <w:spacing w:val="-1"/>
          <w:sz w:val="16"/>
        </w:rPr>
        <w:t> </w:t>
      </w:r>
      <w:r>
        <w:rPr>
          <w:sz w:val="16"/>
        </w:rPr>
        <w:t>Date.</w:t>
      </w:r>
    </w:p>
    <w:p>
      <w:pPr>
        <w:pStyle w:val="ListParagraph"/>
        <w:numPr>
          <w:ilvl w:val="1"/>
          <w:numId w:val="21"/>
        </w:numPr>
        <w:tabs>
          <w:tab w:pos="970" w:val="left" w:leader="none"/>
        </w:tabs>
        <w:spacing w:line="249" w:lineRule="auto" w:before="61" w:after="0"/>
        <w:ind w:left="970" w:right="288" w:hanging="360"/>
        <w:jc w:val="left"/>
        <w:rPr>
          <w:sz w:val="16"/>
        </w:rPr>
      </w:pPr>
      <w:r>
        <w:rPr>
          <w:sz w:val="16"/>
        </w:rPr>
        <w:t>In accordance with SEC regulations governing the determination of beneficial ownership of securities, the percentage of Common</w:t>
      </w:r>
      <w:r>
        <w:rPr>
          <w:spacing w:val="1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beneficially</w:t>
      </w:r>
      <w:r>
        <w:rPr>
          <w:spacing w:val="-2"/>
          <w:sz w:val="16"/>
        </w:rPr>
        <w:t> </w:t>
      </w:r>
      <w:r>
        <w:rPr>
          <w:sz w:val="16"/>
        </w:rPr>
        <w:t>owned</w:t>
      </w:r>
      <w:r>
        <w:rPr>
          <w:spacing w:val="-3"/>
          <w:sz w:val="16"/>
        </w:rPr>
        <w:t> </w:t>
      </w:r>
      <w:r>
        <w:rPr>
          <w:sz w:val="16"/>
        </w:rPr>
        <w:t>by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person</w:t>
      </w:r>
      <w:r>
        <w:rPr>
          <w:spacing w:val="-3"/>
          <w:sz w:val="16"/>
        </w:rPr>
        <w:t> </w:t>
      </w:r>
      <w:r>
        <w:rPr>
          <w:sz w:val="16"/>
        </w:rPr>
        <w:t>assumes</w:t>
      </w:r>
      <w:r>
        <w:rPr>
          <w:spacing w:val="-2"/>
          <w:sz w:val="16"/>
        </w:rPr>
        <w:t> </w:t>
      </w:r>
      <w:r>
        <w:rPr>
          <w:sz w:val="16"/>
        </w:rPr>
        <w:t>that</w:t>
      </w:r>
      <w:r>
        <w:rPr>
          <w:spacing w:val="-3"/>
          <w:sz w:val="16"/>
        </w:rPr>
        <w:t> </w:t>
      </w:r>
      <w:r>
        <w:rPr>
          <w:sz w:val="16"/>
        </w:rPr>
        <w:t>all</w:t>
      </w:r>
      <w:r>
        <w:rPr>
          <w:spacing w:val="-2"/>
          <w:sz w:val="16"/>
        </w:rPr>
        <w:t> </w:t>
      </w:r>
      <w:r>
        <w:rPr>
          <w:sz w:val="16"/>
        </w:rPr>
        <w:t>OP</w:t>
      </w:r>
      <w:r>
        <w:rPr>
          <w:spacing w:val="-5"/>
          <w:sz w:val="16"/>
        </w:rPr>
        <w:t> </w:t>
      </w:r>
      <w:r>
        <w:rPr>
          <w:sz w:val="16"/>
        </w:rPr>
        <w:t>Units</w:t>
      </w:r>
      <w:r>
        <w:rPr>
          <w:spacing w:val="-2"/>
          <w:sz w:val="16"/>
        </w:rPr>
        <w:t> </w:t>
      </w:r>
      <w:r>
        <w:rPr>
          <w:sz w:val="16"/>
        </w:rPr>
        <w:t>held</w:t>
      </w:r>
      <w:r>
        <w:rPr>
          <w:spacing w:val="-4"/>
          <w:sz w:val="16"/>
        </w:rPr>
        <w:t> </w:t>
      </w:r>
      <w:r>
        <w:rPr>
          <w:sz w:val="16"/>
        </w:rPr>
        <w:t>by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person</w:t>
      </w:r>
      <w:r>
        <w:rPr>
          <w:spacing w:val="-3"/>
          <w:sz w:val="16"/>
        </w:rPr>
        <w:t> </w:t>
      </w:r>
      <w:r>
        <w:rPr>
          <w:sz w:val="16"/>
        </w:rPr>
        <w:t>are</w:t>
      </w:r>
      <w:r>
        <w:rPr>
          <w:spacing w:val="-4"/>
          <w:sz w:val="16"/>
        </w:rPr>
        <w:t> </w:t>
      </w:r>
      <w:r>
        <w:rPr>
          <w:sz w:val="16"/>
        </w:rPr>
        <w:t>exchanged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Common</w:t>
      </w:r>
      <w:r>
        <w:rPr>
          <w:spacing w:val="-3"/>
          <w:sz w:val="16"/>
        </w:rPr>
        <w:t> </w:t>
      </w:r>
      <w:r>
        <w:rPr>
          <w:sz w:val="16"/>
        </w:rPr>
        <w:t>Stock,</w:t>
      </w:r>
      <w:r>
        <w:rPr>
          <w:spacing w:val="-3"/>
          <w:sz w:val="16"/>
        </w:rPr>
        <w:t> </w:t>
      </w:r>
      <w:r>
        <w:rPr>
          <w:sz w:val="16"/>
        </w:rPr>
        <w:t>that</w:t>
      </w:r>
      <w:r>
        <w:rPr>
          <w:spacing w:val="-2"/>
          <w:sz w:val="16"/>
        </w:rPr>
        <w:t> </w:t>
      </w:r>
      <w:r>
        <w:rPr>
          <w:sz w:val="16"/>
        </w:rPr>
        <w:t>none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1"/>
          <w:sz w:val="16"/>
        </w:rPr>
        <w:t> </w:t>
      </w:r>
      <w:r>
        <w:rPr>
          <w:sz w:val="16"/>
        </w:rPr>
        <w:t>OP Units held by other persons are so exchanged, that all options exercisable within 60 days of the Record Date to acquire Common</w:t>
      </w:r>
      <w:r>
        <w:rPr>
          <w:spacing w:val="1"/>
          <w:sz w:val="16"/>
        </w:rPr>
        <w:t> </w:t>
      </w:r>
      <w:r>
        <w:rPr>
          <w:sz w:val="16"/>
        </w:rPr>
        <w:t>Stock</w:t>
      </w:r>
      <w:r>
        <w:rPr>
          <w:spacing w:val="-2"/>
          <w:sz w:val="16"/>
        </w:rPr>
        <w:t> </w:t>
      </w:r>
      <w:r>
        <w:rPr>
          <w:sz w:val="16"/>
        </w:rPr>
        <w:t>held</w:t>
      </w:r>
      <w:r>
        <w:rPr>
          <w:spacing w:val="-2"/>
          <w:sz w:val="16"/>
        </w:rPr>
        <w:t> </w:t>
      </w:r>
      <w:r>
        <w:rPr>
          <w:sz w:val="16"/>
        </w:rPr>
        <w:t>by</w:t>
      </w:r>
      <w:r>
        <w:rPr>
          <w:spacing w:val="-1"/>
          <w:sz w:val="16"/>
        </w:rPr>
        <w:t> </w:t>
      </w:r>
      <w:r>
        <w:rPr>
          <w:sz w:val="16"/>
        </w:rPr>
        <w:t>the</w:t>
      </w:r>
      <w:r>
        <w:rPr>
          <w:spacing w:val="-2"/>
          <w:sz w:val="16"/>
        </w:rPr>
        <w:t> </w:t>
      </w:r>
      <w:r>
        <w:rPr>
          <w:sz w:val="16"/>
        </w:rPr>
        <w:t>person</w:t>
      </w:r>
      <w:r>
        <w:rPr>
          <w:spacing w:val="-2"/>
          <w:sz w:val="16"/>
        </w:rPr>
        <w:t> </w:t>
      </w:r>
      <w:r>
        <w:rPr>
          <w:sz w:val="16"/>
        </w:rPr>
        <w:t>are</w:t>
      </w:r>
      <w:r>
        <w:rPr>
          <w:spacing w:val="-3"/>
          <w:sz w:val="16"/>
        </w:rPr>
        <w:t> </w:t>
      </w:r>
      <w:r>
        <w:rPr>
          <w:sz w:val="16"/>
        </w:rPr>
        <w:t>exercised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that</w:t>
      </w:r>
      <w:r>
        <w:rPr>
          <w:spacing w:val="-1"/>
          <w:sz w:val="16"/>
        </w:rPr>
        <w:t> </w:t>
      </w:r>
      <w:r>
        <w:rPr>
          <w:sz w:val="16"/>
        </w:rPr>
        <w:t>no</w:t>
      </w:r>
      <w:r>
        <w:rPr>
          <w:spacing w:val="-2"/>
          <w:sz w:val="16"/>
        </w:rPr>
        <w:t> </w:t>
      </w:r>
      <w:r>
        <w:rPr>
          <w:sz w:val="16"/>
        </w:rPr>
        <w:t>options</w:t>
      </w:r>
      <w:r>
        <w:rPr>
          <w:spacing w:val="-2"/>
          <w:sz w:val="16"/>
        </w:rPr>
        <w:t> </w:t>
      </w:r>
      <w:r>
        <w:rPr>
          <w:sz w:val="16"/>
        </w:rPr>
        <w:t>to</w:t>
      </w:r>
      <w:r>
        <w:rPr>
          <w:spacing w:val="-2"/>
          <w:sz w:val="16"/>
        </w:rPr>
        <w:t> </w:t>
      </w:r>
      <w:r>
        <w:rPr>
          <w:sz w:val="16"/>
        </w:rPr>
        <w:t>acquire</w:t>
      </w:r>
      <w:r>
        <w:rPr>
          <w:spacing w:val="-2"/>
          <w:sz w:val="16"/>
        </w:rPr>
        <w:t> </w:t>
      </w:r>
      <w:r>
        <w:rPr>
          <w:sz w:val="16"/>
        </w:rPr>
        <w:t>Common</w:t>
      </w:r>
      <w:r>
        <w:rPr>
          <w:spacing w:val="-2"/>
          <w:sz w:val="16"/>
        </w:rPr>
        <w:t> </w:t>
      </w:r>
      <w:r>
        <w:rPr>
          <w:sz w:val="16"/>
        </w:rPr>
        <w:t>Stock</w:t>
      </w:r>
      <w:r>
        <w:rPr>
          <w:spacing w:val="-1"/>
          <w:sz w:val="16"/>
        </w:rPr>
        <w:t> </w:t>
      </w:r>
      <w:r>
        <w:rPr>
          <w:sz w:val="16"/>
        </w:rPr>
        <w:t>held</w:t>
      </w:r>
      <w:r>
        <w:rPr>
          <w:spacing w:val="-3"/>
          <w:sz w:val="16"/>
        </w:rPr>
        <w:t> </w:t>
      </w:r>
      <w:r>
        <w:rPr>
          <w:sz w:val="16"/>
        </w:rPr>
        <w:t>by</w:t>
      </w:r>
      <w:r>
        <w:rPr>
          <w:spacing w:val="-1"/>
          <w:sz w:val="16"/>
        </w:rPr>
        <w:t> </w:t>
      </w:r>
      <w:r>
        <w:rPr>
          <w:sz w:val="16"/>
        </w:rPr>
        <w:t>other</w:t>
      </w:r>
      <w:r>
        <w:rPr>
          <w:spacing w:val="-1"/>
          <w:sz w:val="16"/>
        </w:rPr>
        <w:t> </w:t>
      </w:r>
      <w:r>
        <w:rPr>
          <w:sz w:val="16"/>
        </w:rPr>
        <w:t>persons</w:t>
      </w:r>
      <w:r>
        <w:rPr>
          <w:spacing w:val="-1"/>
          <w:sz w:val="16"/>
        </w:rPr>
        <w:t> </w:t>
      </w:r>
      <w:r>
        <w:rPr>
          <w:sz w:val="16"/>
        </w:rPr>
        <w:t>are</w:t>
      </w:r>
      <w:r>
        <w:rPr>
          <w:spacing w:val="-2"/>
          <w:sz w:val="16"/>
        </w:rPr>
        <w:t> </w:t>
      </w:r>
      <w:r>
        <w:rPr>
          <w:sz w:val="16"/>
        </w:rPr>
        <w:t>exercised.</w:t>
      </w:r>
    </w:p>
    <w:p>
      <w:pPr>
        <w:pStyle w:val="ListParagraph"/>
        <w:numPr>
          <w:ilvl w:val="1"/>
          <w:numId w:val="21"/>
        </w:numPr>
        <w:tabs>
          <w:tab w:pos="970" w:val="left" w:leader="none"/>
        </w:tabs>
        <w:spacing w:line="249" w:lineRule="auto" w:before="63" w:after="0"/>
        <w:ind w:left="970" w:right="623" w:hanging="360"/>
        <w:jc w:val="left"/>
        <w:rPr>
          <w:sz w:val="16"/>
        </w:rPr>
      </w:pPr>
      <w:r>
        <w:rPr>
          <w:sz w:val="16"/>
        </w:rPr>
        <w:t>17,431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3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are</w:t>
      </w:r>
      <w:r>
        <w:rPr>
          <w:spacing w:val="-4"/>
          <w:sz w:val="16"/>
        </w:rPr>
        <w:t> </w:t>
      </w:r>
      <w:r>
        <w:rPr>
          <w:sz w:val="16"/>
        </w:rPr>
        <w:t>held</w:t>
      </w:r>
      <w:r>
        <w:rPr>
          <w:spacing w:val="-3"/>
          <w:sz w:val="16"/>
        </w:rPr>
        <w:t> </w:t>
      </w:r>
      <w:r>
        <w:rPr>
          <w:sz w:val="16"/>
        </w:rPr>
        <w:t>by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Contis</w:t>
      </w:r>
      <w:r>
        <w:rPr>
          <w:spacing w:val="-2"/>
          <w:sz w:val="16"/>
        </w:rPr>
        <w:t> </w:t>
      </w:r>
      <w:r>
        <w:rPr>
          <w:sz w:val="16"/>
        </w:rPr>
        <w:t>Family</w:t>
      </w:r>
      <w:r>
        <w:rPr>
          <w:spacing w:val="-6"/>
          <w:sz w:val="16"/>
        </w:rPr>
        <w:t> </w:t>
      </w:r>
      <w:r>
        <w:rPr>
          <w:sz w:val="16"/>
        </w:rPr>
        <w:t>Trust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1,000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are</w:t>
      </w:r>
      <w:r>
        <w:rPr>
          <w:spacing w:val="-3"/>
          <w:sz w:val="16"/>
        </w:rPr>
        <w:t> </w:t>
      </w:r>
      <w:r>
        <w:rPr>
          <w:sz w:val="16"/>
        </w:rPr>
        <w:t>held</w:t>
      </w:r>
      <w:r>
        <w:rPr>
          <w:spacing w:val="-4"/>
          <w:sz w:val="16"/>
        </w:rPr>
        <w:t> </w:t>
      </w:r>
      <w:r>
        <w:rPr>
          <w:sz w:val="16"/>
        </w:rPr>
        <w:t>by</w:t>
      </w:r>
      <w:r>
        <w:rPr>
          <w:spacing w:val="-3"/>
          <w:sz w:val="16"/>
        </w:rPr>
        <w:t> </w:t>
      </w:r>
      <w:r>
        <w:rPr>
          <w:sz w:val="16"/>
        </w:rPr>
        <w:t>Mr.</w:t>
      </w:r>
      <w:r>
        <w:rPr>
          <w:spacing w:val="-2"/>
          <w:sz w:val="16"/>
        </w:rPr>
        <w:t> </w:t>
      </w:r>
      <w:r>
        <w:rPr>
          <w:sz w:val="16"/>
        </w:rPr>
        <w:t>Contis</w:t>
      </w:r>
      <w:r>
        <w:rPr>
          <w:spacing w:val="-3"/>
          <w:sz w:val="16"/>
        </w:rPr>
        <w:t> </w:t>
      </w:r>
      <w:r>
        <w:rPr>
          <w:sz w:val="16"/>
        </w:rPr>
        <w:t>in</w:t>
      </w:r>
      <w:r>
        <w:rPr>
          <w:spacing w:val="1"/>
          <w:sz w:val="16"/>
        </w:rPr>
        <w:t> </w:t>
      </w:r>
      <w:r>
        <w:rPr>
          <w:sz w:val="16"/>
        </w:rPr>
        <w:t>custodial</w:t>
      </w:r>
      <w:r>
        <w:rPr>
          <w:spacing w:val="-1"/>
          <w:sz w:val="16"/>
        </w:rPr>
        <w:t> </w:t>
      </w:r>
      <w:r>
        <w:rPr>
          <w:sz w:val="16"/>
        </w:rPr>
        <w:t>accounts for his grandchildren.</w:t>
      </w:r>
    </w:p>
    <w:p>
      <w:pPr>
        <w:pStyle w:val="ListParagraph"/>
        <w:numPr>
          <w:ilvl w:val="1"/>
          <w:numId w:val="21"/>
        </w:numPr>
        <w:tabs>
          <w:tab w:pos="970" w:val="left" w:leader="none"/>
        </w:tabs>
        <w:spacing w:line="249" w:lineRule="auto" w:before="61" w:after="0"/>
        <w:ind w:left="970" w:right="850" w:hanging="360"/>
        <w:jc w:val="left"/>
        <w:rPr>
          <w:sz w:val="16"/>
        </w:rPr>
      </w:pPr>
      <w:r>
        <w:rPr>
          <w:sz w:val="16"/>
        </w:rPr>
        <w:t>Includes</w:t>
      </w:r>
      <w:r>
        <w:rPr>
          <w:spacing w:val="-5"/>
          <w:sz w:val="16"/>
        </w:rPr>
        <w:t> </w:t>
      </w:r>
      <w:r>
        <w:rPr>
          <w:sz w:val="16"/>
        </w:rPr>
        <w:t>293,537</w:t>
      </w:r>
      <w:r>
        <w:rPr>
          <w:spacing w:val="-5"/>
          <w:sz w:val="16"/>
        </w:rPr>
        <w:t> </w:t>
      </w:r>
      <w:r>
        <w:rPr>
          <w:sz w:val="16"/>
        </w:rPr>
        <w:t>shares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Common</w:t>
      </w:r>
      <w:r>
        <w:rPr>
          <w:spacing w:val="-5"/>
          <w:sz w:val="16"/>
        </w:rPr>
        <w:t> </w:t>
      </w:r>
      <w:r>
        <w:rPr>
          <w:sz w:val="16"/>
        </w:rPr>
        <w:t>Stock</w:t>
      </w:r>
      <w:r>
        <w:rPr>
          <w:spacing w:val="-4"/>
          <w:sz w:val="16"/>
        </w:rPr>
        <w:t> </w:t>
      </w:r>
      <w:r>
        <w:rPr>
          <w:sz w:val="16"/>
        </w:rPr>
        <w:t>beneficially</w:t>
      </w:r>
      <w:r>
        <w:rPr>
          <w:spacing w:val="-5"/>
          <w:sz w:val="16"/>
        </w:rPr>
        <w:t> </w:t>
      </w:r>
      <w:r>
        <w:rPr>
          <w:sz w:val="16"/>
        </w:rPr>
        <w:t>owned</w:t>
      </w:r>
      <w:r>
        <w:rPr>
          <w:spacing w:val="-5"/>
          <w:sz w:val="16"/>
        </w:rPr>
        <w:t> </w:t>
      </w:r>
      <w:r>
        <w:rPr>
          <w:sz w:val="16"/>
        </w:rPr>
        <w:t>by</w:t>
      </w:r>
      <w:r>
        <w:rPr>
          <w:spacing w:val="-4"/>
          <w:sz w:val="16"/>
        </w:rPr>
        <w:t> </w:t>
      </w:r>
      <w:r>
        <w:rPr>
          <w:sz w:val="16"/>
        </w:rPr>
        <w:t>Mr.</w:t>
      </w:r>
      <w:r>
        <w:rPr>
          <w:spacing w:val="-5"/>
          <w:sz w:val="16"/>
        </w:rPr>
        <w:t> </w:t>
      </w:r>
      <w:r>
        <w:rPr>
          <w:sz w:val="16"/>
        </w:rPr>
        <w:t>Heneghan's</w:t>
      </w:r>
      <w:r>
        <w:rPr>
          <w:spacing w:val="-4"/>
          <w:sz w:val="16"/>
        </w:rPr>
        <w:t> </w:t>
      </w:r>
      <w:r>
        <w:rPr>
          <w:sz w:val="16"/>
        </w:rPr>
        <w:t>spouse,</w:t>
      </w:r>
      <w:r>
        <w:rPr>
          <w:spacing w:val="-4"/>
          <w:sz w:val="16"/>
        </w:rPr>
        <w:t> </w:t>
      </w:r>
      <w:r>
        <w:rPr>
          <w:sz w:val="16"/>
        </w:rPr>
        <w:t>as</w:t>
      </w:r>
      <w:r>
        <w:rPr>
          <w:spacing w:val="-5"/>
          <w:sz w:val="16"/>
        </w:rPr>
        <w:t> </w:t>
      </w:r>
      <w:r>
        <w:rPr>
          <w:sz w:val="16"/>
        </w:rPr>
        <w:t>to</w:t>
      </w:r>
      <w:r>
        <w:rPr>
          <w:spacing w:val="-5"/>
          <w:sz w:val="16"/>
        </w:rPr>
        <w:t> </w:t>
      </w:r>
      <w:r>
        <w:rPr>
          <w:sz w:val="16"/>
        </w:rPr>
        <w:t>which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Heneghan</w:t>
      </w:r>
      <w:r>
        <w:rPr>
          <w:spacing w:val="-6"/>
          <w:sz w:val="16"/>
        </w:rPr>
        <w:t> </w:t>
      </w:r>
      <w:r>
        <w:rPr>
          <w:sz w:val="16"/>
        </w:rPr>
        <w:t>disclaims</w:t>
      </w:r>
      <w:r>
        <w:rPr>
          <w:spacing w:val="1"/>
          <w:sz w:val="16"/>
        </w:rPr>
        <w:t> </w:t>
      </w:r>
      <w:r>
        <w:rPr>
          <w:sz w:val="16"/>
        </w:rPr>
        <w:t>beneficial</w:t>
      </w:r>
      <w:r>
        <w:rPr>
          <w:spacing w:val="-1"/>
          <w:sz w:val="16"/>
        </w:rPr>
        <w:t> </w:t>
      </w:r>
      <w:r>
        <w:rPr>
          <w:sz w:val="16"/>
        </w:rPr>
        <w:t>ownership.</w:t>
      </w:r>
    </w:p>
    <w:p>
      <w:pPr>
        <w:pStyle w:val="ListParagraph"/>
        <w:numPr>
          <w:ilvl w:val="1"/>
          <w:numId w:val="21"/>
        </w:numPr>
        <w:tabs>
          <w:tab w:pos="970" w:val="left" w:leader="none"/>
        </w:tabs>
        <w:spacing w:line="240" w:lineRule="auto" w:before="61" w:after="0"/>
        <w:ind w:left="970" w:right="0" w:hanging="360"/>
        <w:jc w:val="left"/>
        <w:rPr>
          <w:sz w:val="16"/>
        </w:rPr>
      </w:pP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Maynard</w:t>
      </w:r>
      <w:r>
        <w:rPr>
          <w:spacing w:val="-5"/>
          <w:sz w:val="16"/>
        </w:rPr>
        <w:t> </w:t>
      </w:r>
      <w:r>
        <w:rPr>
          <w:sz w:val="16"/>
        </w:rPr>
        <w:t>will</w:t>
      </w:r>
      <w:r>
        <w:rPr>
          <w:spacing w:val="-4"/>
          <w:sz w:val="16"/>
        </w:rPr>
        <w:t> </w:t>
      </w:r>
      <w:r>
        <w:rPr>
          <w:sz w:val="16"/>
        </w:rPr>
        <w:t>retire</w:t>
      </w:r>
      <w:r>
        <w:rPr>
          <w:spacing w:val="-4"/>
          <w:sz w:val="16"/>
        </w:rPr>
        <w:t> </w:t>
      </w:r>
      <w:r>
        <w:rPr>
          <w:sz w:val="16"/>
        </w:rPr>
        <w:t>effective</w:t>
      </w:r>
      <w:r>
        <w:rPr>
          <w:spacing w:val="-5"/>
          <w:sz w:val="16"/>
        </w:rPr>
        <w:t> </w:t>
      </w:r>
      <w:r>
        <w:rPr>
          <w:sz w:val="16"/>
        </w:rPr>
        <w:t>March</w:t>
      </w:r>
      <w:r>
        <w:rPr>
          <w:spacing w:val="-4"/>
          <w:sz w:val="16"/>
        </w:rPr>
        <w:t> </w:t>
      </w:r>
      <w:r>
        <w:rPr>
          <w:sz w:val="16"/>
        </w:rPr>
        <w:t>31,</w:t>
      </w:r>
      <w:r>
        <w:rPr>
          <w:spacing w:val="-4"/>
          <w:sz w:val="16"/>
        </w:rPr>
        <w:t> </w:t>
      </w:r>
      <w:r>
        <w:rPr>
          <w:sz w:val="16"/>
        </w:rPr>
        <w:t>2022.</w:t>
      </w:r>
    </w:p>
    <w:p>
      <w:pPr>
        <w:pStyle w:val="ListParagraph"/>
        <w:numPr>
          <w:ilvl w:val="1"/>
          <w:numId w:val="21"/>
        </w:numPr>
        <w:tabs>
          <w:tab w:pos="970" w:val="left" w:leader="none"/>
        </w:tabs>
        <w:spacing w:line="249" w:lineRule="auto" w:before="68" w:after="0"/>
        <w:ind w:left="970" w:right="797" w:hanging="360"/>
        <w:jc w:val="left"/>
        <w:rPr>
          <w:sz w:val="16"/>
        </w:rPr>
      </w:pPr>
      <w:r>
        <w:rPr>
          <w:sz w:val="16"/>
        </w:rPr>
        <w:t>Includes</w:t>
      </w:r>
      <w:r>
        <w:rPr>
          <w:spacing w:val="-5"/>
          <w:sz w:val="16"/>
        </w:rPr>
        <w:t> </w:t>
      </w:r>
      <w:r>
        <w:rPr>
          <w:sz w:val="16"/>
        </w:rPr>
        <w:t>190</w:t>
      </w:r>
      <w:r>
        <w:rPr>
          <w:spacing w:val="-5"/>
          <w:sz w:val="16"/>
        </w:rPr>
        <w:t> </w:t>
      </w:r>
      <w:r>
        <w:rPr>
          <w:sz w:val="16"/>
        </w:rPr>
        <w:t>shares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5"/>
          <w:sz w:val="16"/>
        </w:rPr>
        <w:t> </w:t>
      </w:r>
      <w:r>
        <w:rPr>
          <w:sz w:val="16"/>
        </w:rPr>
        <w:t>Common</w:t>
      </w:r>
      <w:r>
        <w:rPr>
          <w:spacing w:val="-5"/>
          <w:sz w:val="16"/>
        </w:rPr>
        <w:t> </w:t>
      </w:r>
      <w:r>
        <w:rPr>
          <w:sz w:val="16"/>
        </w:rPr>
        <w:t>Stock</w:t>
      </w:r>
      <w:r>
        <w:rPr>
          <w:spacing w:val="-4"/>
          <w:sz w:val="16"/>
        </w:rPr>
        <w:t> </w:t>
      </w:r>
      <w:r>
        <w:rPr>
          <w:sz w:val="16"/>
        </w:rPr>
        <w:t>beneficially</w:t>
      </w:r>
      <w:r>
        <w:rPr>
          <w:spacing w:val="-5"/>
          <w:sz w:val="16"/>
        </w:rPr>
        <w:t> </w:t>
      </w:r>
      <w:r>
        <w:rPr>
          <w:sz w:val="16"/>
        </w:rPr>
        <w:t>owned</w:t>
      </w:r>
      <w:r>
        <w:rPr>
          <w:spacing w:val="-5"/>
          <w:sz w:val="16"/>
        </w:rPr>
        <w:t> </w:t>
      </w:r>
      <w:r>
        <w:rPr>
          <w:sz w:val="16"/>
        </w:rPr>
        <w:t>by</w:t>
      </w:r>
      <w:r>
        <w:rPr>
          <w:spacing w:val="-5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Peppet's</w:t>
      </w:r>
      <w:r>
        <w:rPr>
          <w:spacing w:val="-5"/>
          <w:sz w:val="16"/>
        </w:rPr>
        <w:t> </w:t>
      </w:r>
      <w:r>
        <w:rPr>
          <w:sz w:val="16"/>
        </w:rPr>
        <w:t>daughter,</w:t>
      </w:r>
      <w:r>
        <w:rPr>
          <w:spacing w:val="-5"/>
          <w:sz w:val="16"/>
        </w:rPr>
        <w:t> </w:t>
      </w:r>
      <w:r>
        <w:rPr>
          <w:sz w:val="16"/>
        </w:rPr>
        <w:t>as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5"/>
          <w:sz w:val="16"/>
        </w:rPr>
        <w:t> </w:t>
      </w:r>
      <w:r>
        <w:rPr>
          <w:sz w:val="16"/>
        </w:rPr>
        <w:t>which</w:t>
      </w:r>
      <w:r>
        <w:rPr>
          <w:spacing w:val="-6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Peppet</w:t>
      </w:r>
      <w:r>
        <w:rPr>
          <w:spacing w:val="-5"/>
          <w:sz w:val="16"/>
        </w:rPr>
        <w:t> </w:t>
      </w:r>
      <w:r>
        <w:rPr>
          <w:sz w:val="16"/>
        </w:rPr>
        <w:t>disclaims</w:t>
      </w:r>
      <w:r>
        <w:rPr>
          <w:spacing w:val="-5"/>
          <w:sz w:val="16"/>
        </w:rPr>
        <w:t> </w:t>
      </w:r>
      <w:r>
        <w:rPr>
          <w:sz w:val="16"/>
        </w:rPr>
        <w:t>beneficial</w:t>
      </w:r>
      <w:r>
        <w:rPr>
          <w:spacing w:val="1"/>
          <w:sz w:val="16"/>
        </w:rPr>
        <w:t> </w:t>
      </w:r>
      <w:r>
        <w:rPr>
          <w:sz w:val="16"/>
        </w:rPr>
        <w:t>ownership.</w:t>
      </w:r>
    </w:p>
    <w:p>
      <w:pPr>
        <w:pStyle w:val="ListParagraph"/>
        <w:numPr>
          <w:ilvl w:val="1"/>
          <w:numId w:val="21"/>
        </w:numPr>
        <w:tabs>
          <w:tab w:pos="970" w:val="left" w:leader="none"/>
        </w:tabs>
        <w:spacing w:line="249" w:lineRule="auto" w:before="62" w:after="0"/>
        <w:ind w:left="970" w:right="362" w:hanging="360"/>
        <w:jc w:val="both"/>
        <w:rPr>
          <w:sz w:val="16"/>
        </w:rPr>
      </w:pPr>
      <w:r>
        <w:rPr>
          <w:sz w:val="16"/>
        </w:rPr>
        <w:t>Includes 46,120 OP Units beneficially owned by Ms. Rosenberg, which are exchangeable into 46,120 shares of Common Stock. Also</w:t>
      </w:r>
      <w:r>
        <w:rPr>
          <w:spacing w:val="1"/>
          <w:sz w:val="16"/>
        </w:rPr>
        <w:t> </w:t>
      </w:r>
      <w:r>
        <w:rPr>
          <w:sz w:val="16"/>
        </w:rPr>
        <w:t>includes</w:t>
      </w:r>
      <w:r>
        <w:rPr>
          <w:spacing w:val="-4"/>
          <w:sz w:val="16"/>
        </w:rPr>
        <w:t> </w:t>
      </w:r>
      <w:r>
        <w:rPr>
          <w:sz w:val="16"/>
        </w:rPr>
        <w:t>approximately</w:t>
      </w:r>
      <w:r>
        <w:rPr>
          <w:spacing w:val="-3"/>
          <w:sz w:val="16"/>
        </w:rPr>
        <w:t> </w:t>
      </w:r>
      <w:r>
        <w:rPr>
          <w:sz w:val="16"/>
        </w:rPr>
        <w:t>378,255</w:t>
      </w:r>
      <w:r>
        <w:rPr>
          <w:spacing w:val="-5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4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beneficially</w:t>
      </w:r>
      <w:r>
        <w:rPr>
          <w:spacing w:val="-4"/>
          <w:sz w:val="16"/>
        </w:rPr>
        <w:t> </w:t>
      </w:r>
      <w:r>
        <w:rPr>
          <w:sz w:val="16"/>
        </w:rPr>
        <w:t>owned</w:t>
      </w:r>
      <w:r>
        <w:rPr>
          <w:spacing w:val="-4"/>
          <w:sz w:val="16"/>
        </w:rPr>
        <w:t> </w:t>
      </w:r>
      <w:r>
        <w:rPr>
          <w:sz w:val="16"/>
        </w:rPr>
        <w:t>by</w:t>
      </w:r>
      <w:r>
        <w:rPr>
          <w:spacing w:val="-4"/>
          <w:sz w:val="16"/>
        </w:rPr>
        <w:t> </w:t>
      </w:r>
      <w:r>
        <w:rPr>
          <w:sz w:val="16"/>
        </w:rPr>
        <w:t>Ms.</w:t>
      </w:r>
      <w:r>
        <w:rPr>
          <w:spacing w:val="-3"/>
          <w:sz w:val="16"/>
        </w:rPr>
        <w:t> </w:t>
      </w:r>
      <w:r>
        <w:rPr>
          <w:sz w:val="16"/>
        </w:rPr>
        <w:t>Rosenberg's</w:t>
      </w:r>
      <w:r>
        <w:rPr>
          <w:spacing w:val="-4"/>
          <w:sz w:val="16"/>
        </w:rPr>
        <w:t> </w:t>
      </w:r>
      <w:r>
        <w:rPr>
          <w:sz w:val="16"/>
        </w:rPr>
        <w:t>spouse,</w:t>
      </w:r>
      <w:r>
        <w:rPr>
          <w:spacing w:val="-3"/>
          <w:sz w:val="16"/>
        </w:rPr>
        <w:t> </w:t>
      </w:r>
      <w:r>
        <w:rPr>
          <w:sz w:val="16"/>
        </w:rPr>
        <w:t>as</w:t>
      </w:r>
      <w:r>
        <w:rPr>
          <w:spacing w:val="-4"/>
          <w:sz w:val="16"/>
        </w:rPr>
        <w:t> </w:t>
      </w:r>
      <w:r>
        <w:rPr>
          <w:sz w:val="16"/>
        </w:rPr>
        <w:t>to</w:t>
      </w:r>
      <w:r>
        <w:rPr>
          <w:spacing w:val="-4"/>
          <w:sz w:val="16"/>
        </w:rPr>
        <w:t> </w:t>
      </w:r>
      <w:r>
        <w:rPr>
          <w:sz w:val="16"/>
        </w:rPr>
        <w:t>which</w:t>
      </w:r>
      <w:r>
        <w:rPr>
          <w:spacing w:val="-4"/>
          <w:sz w:val="16"/>
        </w:rPr>
        <w:t> </w:t>
      </w:r>
      <w:r>
        <w:rPr>
          <w:sz w:val="16"/>
        </w:rPr>
        <w:t>Ms.</w:t>
      </w:r>
      <w:r>
        <w:rPr>
          <w:spacing w:val="-4"/>
          <w:sz w:val="16"/>
        </w:rPr>
        <w:t> </w:t>
      </w:r>
      <w:r>
        <w:rPr>
          <w:sz w:val="16"/>
        </w:rPr>
        <w:t>Rosenberg</w:t>
      </w:r>
      <w:r>
        <w:rPr>
          <w:spacing w:val="1"/>
          <w:sz w:val="16"/>
        </w:rPr>
        <w:t> </w:t>
      </w:r>
      <w:r>
        <w:rPr>
          <w:sz w:val="16"/>
        </w:rPr>
        <w:t>disclaims</w:t>
      </w:r>
      <w:r>
        <w:rPr>
          <w:spacing w:val="-1"/>
          <w:sz w:val="16"/>
        </w:rPr>
        <w:t> </w:t>
      </w:r>
      <w:r>
        <w:rPr>
          <w:sz w:val="16"/>
        </w:rPr>
        <w:t>beneficial ownership.</w:t>
      </w:r>
    </w:p>
    <w:p>
      <w:pPr>
        <w:pStyle w:val="ListParagraph"/>
        <w:numPr>
          <w:ilvl w:val="1"/>
          <w:numId w:val="21"/>
        </w:numPr>
        <w:tabs>
          <w:tab w:pos="970" w:val="left" w:leader="none"/>
        </w:tabs>
        <w:spacing w:line="249" w:lineRule="auto" w:before="62" w:after="0"/>
        <w:ind w:left="970" w:right="351" w:hanging="360"/>
        <w:jc w:val="left"/>
        <w:rPr>
          <w:sz w:val="16"/>
        </w:rPr>
      </w:pPr>
      <w:r>
        <w:rPr>
          <w:sz w:val="16"/>
        </w:rPr>
        <w:t>Includes shares of Common Stock and OP Units with respect to which Mr. Zell has voting and investment power which include the</w:t>
      </w:r>
      <w:r>
        <w:rPr>
          <w:spacing w:val="1"/>
          <w:sz w:val="16"/>
        </w:rPr>
        <w:t> </w:t>
      </w:r>
      <w:r>
        <w:rPr>
          <w:sz w:val="16"/>
        </w:rPr>
        <w:t>holdings held directly by Mr. Zell (sole power) and the holdings of Samuel Zell Revocable Trust and Samstock/SZRT, L.L.C. (shared</w:t>
      </w:r>
      <w:r>
        <w:rPr>
          <w:spacing w:val="1"/>
          <w:sz w:val="16"/>
        </w:rPr>
        <w:t> </w:t>
      </w:r>
      <w:r>
        <w:rPr>
          <w:sz w:val="16"/>
        </w:rPr>
        <w:t>power in both cases). Also includes 56,000 shares of Common Stock held by the Helen Zell Revocable Trust (“HZRT”) of which Helen</w:t>
      </w:r>
      <w:r>
        <w:rPr>
          <w:spacing w:val="-42"/>
          <w:sz w:val="16"/>
        </w:rPr>
        <w:t> </w:t>
      </w:r>
      <w:r>
        <w:rPr>
          <w:sz w:val="16"/>
        </w:rPr>
        <w:t>Zell, Mr. Zell's spouse, is the trustee. Mr. Zell disclaims beneficial ownership of such shares held by HZRT except to the extent of any</w:t>
      </w:r>
      <w:r>
        <w:rPr>
          <w:spacing w:val="1"/>
          <w:sz w:val="16"/>
        </w:rPr>
        <w:t> </w:t>
      </w:r>
      <w:r>
        <w:rPr>
          <w:sz w:val="16"/>
        </w:rPr>
        <w:t>pecuniary interest therein. Approximately 3.0 million of such shares of Common Stock which are beneficially owned directly or</w:t>
      </w:r>
      <w:r>
        <w:rPr>
          <w:spacing w:val="1"/>
          <w:sz w:val="16"/>
        </w:rPr>
        <w:t> </w:t>
      </w:r>
      <w:r>
        <w:rPr>
          <w:sz w:val="16"/>
        </w:rPr>
        <w:t>indirectly by Mr. Zell or by entities controlled directly or indirectly by Mr. Zell are pledged as security for certain loans. There was no</w:t>
      </w:r>
      <w:r>
        <w:rPr>
          <w:spacing w:val="1"/>
          <w:sz w:val="16"/>
        </w:rPr>
        <w:t> </w:t>
      </w:r>
      <w:r>
        <w:rPr>
          <w:sz w:val="16"/>
        </w:rPr>
        <w:t>change in the pledging arrangement in 2021 and the pledging arrangement has been in place for many years, has been closely</w:t>
      </w:r>
      <w:r>
        <w:rPr>
          <w:spacing w:val="1"/>
          <w:sz w:val="16"/>
        </w:rPr>
        <w:t> </w:t>
      </w:r>
      <w:r>
        <w:rPr>
          <w:sz w:val="16"/>
        </w:rPr>
        <w:t>monitored by our Board, is compliant with our Securities Pledging Policy and has fostered long-term investment by Mr. Zell, who has</w:t>
      </w:r>
      <w:r>
        <w:rPr>
          <w:spacing w:val="1"/>
          <w:sz w:val="16"/>
        </w:rPr>
        <w:t> </w:t>
      </w:r>
      <w:r>
        <w:rPr>
          <w:sz w:val="16"/>
        </w:rPr>
        <w:t>been</w:t>
      </w:r>
      <w:r>
        <w:rPr>
          <w:spacing w:val="-2"/>
          <w:sz w:val="16"/>
        </w:rPr>
        <w:t> </w:t>
      </w:r>
      <w:r>
        <w:rPr>
          <w:sz w:val="16"/>
        </w:rPr>
        <w:t>Chairman</w:t>
      </w:r>
      <w:r>
        <w:rPr>
          <w:spacing w:val="-2"/>
          <w:sz w:val="16"/>
        </w:rPr>
        <w:t> </w:t>
      </w:r>
      <w:r>
        <w:rPr>
          <w:sz w:val="16"/>
        </w:rPr>
        <w:t>since</w:t>
      </w:r>
      <w:r>
        <w:rPr>
          <w:spacing w:val="-1"/>
          <w:sz w:val="16"/>
        </w:rPr>
        <w:t> </w:t>
      </w:r>
      <w:r>
        <w:rPr>
          <w:sz w:val="16"/>
        </w:rPr>
        <w:t>1993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1"/>
          <w:sz w:val="16"/>
        </w:rPr>
        <w:t> </w:t>
      </w:r>
      <w:r>
        <w:rPr>
          <w:sz w:val="16"/>
        </w:rPr>
        <w:t>holder</w:t>
      </w:r>
      <w:r>
        <w:rPr>
          <w:spacing w:val="-1"/>
          <w:sz w:val="16"/>
        </w:rPr>
        <w:t> </w:t>
      </w:r>
      <w:r>
        <w:rPr>
          <w:sz w:val="16"/>
        </w:rPr>
        <w:t>of our</w:t>
      </w:r>
      <w:r>
        <w:rPr>
          <w:spacing w:val="-1"/>
          <w:sz w:val="16"/>
        </w:rPr>
        <w:t> </w:t>
      </w:r>
      <w:r>
        <w:rPr>
          <w:sz w:val="16"/>
        </w:rPr>
        <w:t>equity</w:t>
      </w:r>
      <w:r>
        <w:rPr>
          <w:spacing w:val="-1"/>
          <w:sz w:val="16"/>
        </w:rPr>
        <w:t> </w:t>
      </w:r>
      <w:r>
        <w:rPr>
          <w:sz w:val="16"/>
        </w:rPr>
        <w:t>since</w:t>
      </w:r>
      <w:r>
        <w:rPr>
          <w:spacing w:val="-1"/>
          <w:sz w:val="16"/>
        </w:rPr>
        <w:t> </w:t>
      </w:r>
      <w:r>
        <w:rPr>
          <w:sz w:val="16"/>
        </w:rPr>
        <w:t>our</w:t>
      </w:r>
      <w:r>
        <w:rPr>
          <w:spacing w:val="-1"/>
          <w:sz w:val="16"/>
        </w:rPr>
        <w:t> </w:t>
      </w:r>
      <w:r>
        <w:rPr>
          <w:sz w:val="16"/>
        </w:rPr>
        <w:t>initial</w:t>
      </w:r>
      <w:r>
        <w:rPr>
          <w:spacing w:val="-1"/>
          <w:sz w:val="16"/>
        </w:rPr>
        <w:t> </w:t>
      </w:r>
      <w:r>
        <w:rPr>
          <w:sz w:val="16"/>
        </w:rPr>
        <w:t>public offering</w:t>
      </w:r>
      <w:r>
        <w:rPr>
          <w:spacing w:val="-2"/>
          <w:sz w:val="16"/>
        </w:rPr>
        <w:t> </w:t>
      </w:r>
      <w:r>
        <w:rPr>
          <w:sz w:val="16"/>
        </w:rPr>
        <w:t>in</w:t>
      </w:r>
      <w:r>
        <w:rPr>
          <w:spacing w:val="-2"/>
          <w:sz w:val="16"/>
        </w:rPr>
        <w:t> </w:t>
      </w:r>
      <w:r>
        <w:rPr>
          <w:sz w:val="16"/>
        </w:rPr>
        <w:t>1993.</w:t>
      </w:r>
    </w:p>
    <w:p>
      <w:pPr>
        <w:spacing w:line="249" w:lineRule="auto" w:before="65"/>
        <w:ind w:left="970" w:right="338" w:firstLine="0"/>
        <w:jc w:val="left"/>
        <w:rPr>
          <w:sz w:val="16"/>
        </w:rPr>
      </w:pPr>
      <w:r>
        <w:rPr>
          <w:sz w:val="16"/>
        </w:rPr>
        <w:t>In addition to the shares of Common Stock and OP Units set forth above, shares of Common Stock and OP Units are indirectly owned</w:t>
      </w:r>
      <w:r>
        <w:rPr>
          <w:spacing w:val="-42"/>
          <w:sz w:val="16"/>
        </w:rPr>
        <w:t> </w:t>
      </w:r>
      <w:r>
        <w:rPr>
          <w:sz w:val="16"/>
        </w:rPr>
        <w:t>by</w:t>
      </w:r>
      <w:r>
        <w:rPr>
          <w:spacing w:val="-4"/>
          <w:sz w:val="16"/>
        </w:rPr>
        <w:t> </w:t>
      </w:r>
      <w:r>
        <w:rPr>
          <w:sz w:val="16"/>
        </w:rPr>
        <w:t>irrevocable</w:t>
      </w:r>
      <w:r>
        <w:rPr>
          <w:spacing w:val="-5"/>
          <w:sz w:val="16"/>
        </w:rPr>
        <w:t> </w:t>
      </w:r>
      <w:r>
        <w:rPr>
          <w:sz w:val="16"/>
        </w:rPr>
        <w:t>trusts</w:t>
      </w:r>
      <w:r>
        <w:rPr>
          <w:spacing w:val="-3"/>
          <w:sz w:val="16"/>
        </w:rPr>
        <w:t> </w:t>
      </w:r>
      <w:r>
        <w:rPr>
          <w:sz w:val="16"/>
        </w:rPr>
        <w:t>established</w:t>
      </w:r>
      <w:r>
        <w:rPr>
          <w:spacing w:val="-5"/>
          <w:sz w:val="16"/>
        </w:rPr>
        <w:t> </w:t>
      </w:r>
      <w:r>
        <w:rPr>
          <w:sz w:val="16"/>
        </w:rPr>
        <w:t>for</w:t>
      </w:r>
      <w:r>
        <w:rPr>
          <w:spacing w:val="-4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benefit</w:t>
      </w:r>
      <w:r>
        <w:rPr>
          <w:spacing w:val="-4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Mr.</w:t>
      </w:r>
      <w:r>
        <w:rPr>
          <w:spacing w:val="-4"/>
          <w:sz w:val="16"/>
        </w:rPr>
        <w:t> </w:t>
      </w:r>
      <w:r>
        <w:rPr>
          <w:sz w:val="16"/>
        </w:rPr>
        <w:t>Zell</w:t>
      </w:r>
      <w:r>
        <w:rPr>
          <w:spacing w:val="-4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his</w:t>
      </w:r>
      <w:r>
        <w:rPr>
          <w:spacing w:val="-4"/>
          <w:sz w:val="16"/>
        </w:rPr>
        <w:t> </w:t>
      </w:r>
      <w:r>
        <w:rPr>
          <w:sz w:val="16"/>
        </w:rPr>
        <w:t>family,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5"/>
          <w:sz w:val="16"/>
        </w:rPr>
        <w:t> </w:t>
      </w:r>
      <w:r>
        <w:rPr>
          <w:sz w:val="16"/>
        </w:rPr>
        <w:t>trustee</w:t>
      </w:r>
      <w:r>
        <w:rPr>
          <w:spacing w:val="-5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which</w:t>
      </w:r>
      <w:r>
        <w:rPr>
          <w:spacing w:val="-5"/>
          <w:sz w:val="16"/>
        </w:rPr>
        <w:t> </w:t>
      </w:r>
      <w:r>
        <w:rPr>
          <w:sz w:val="16"/>
        </w:rPr>
        <w:t>is</w:t>
      </w:r>
      <w:r>
        <w:rPr>
          <w:spacing w:val="-3"/>
          <w:sz w:val="16"/>
        </w:rPr>
        <w:t> </w:t>
      </w:r>
      <w:r>
        <w:rPr>
          <w:sz w:val="16"/>
        </w:rPr>
        <w:t>Chai</w:t>
      </w:r>
      <w:r>
        <w:rPr>
          <w:spacing w:val="-7"/>
          <w:sz w:val="16"/>
        </w:rPr>
        <w:t> </w:t>
      </w:r>
      <w:r>
        <w:rPr>
          <w:sz w:val="16"/>
        </w:rPr>
        <w:t>Trust,</w:t>
      </w:r>
      <w:r>
        <w:rPr>
          <w:spacing w:val="-3"/>
          <w:sz w:val="16"/>
        </w:rPr>
        <w:t> </w:t>
      </w:r>
      <w:r>
        <w:rPr>
          <w:sz w:val="16"/>
        </w:rPr>
        <w:t>a</w:t>
      </w:r>
      <w:r>
        <w:rPr>
          <w:spacing w:val="-5"/>
          <w:sz w:val="16"/>
        </w:rPr>
        <w:t> </w:t>
      </w:r>
      <w:r>
        <w:rPr>
          <w:sz w:val="16"/>
        </w:rPr>
        <w:t>state-regulated</w:t>
      </w:r>
      <w:r>
        <w:rPr>
          <w:spacing w:val="-5"/>
          <w:sz w:val="16"/>
        </w:rPr>
        <w:t> </w:t>
      </w:r>
      <w:r>
        <w:rPr>
          <w:sz w:val="16"/>
        </w:rPr>
        <w:t>corporate</w:t>
      </w:r>
      <w:r>
        <w:rPr>
          <w:spacing w:val="1"/>
          <w:sz w:val="16"/>
        </w:rPr>
        <w:t> </w:t>
      </w:r>
      <w:r>
        <w:rPr>
          <w:sz w:val="16"/>
        </w:rPr>
        <w:t>trust company. Mr. Zell is not an officer or director of Chai Trust and does not have voting or dispositive power with respect to such</w:t>
      </w:r>
      <w:r>
        <w:rPr>
          <w:spacing w:val="1"/>
          <w:sz w:val="16"/>
        </w:rPr>
        <w:t> </w:t>
      </w:r>
      <w:r>
        <w:rPr>
          <w:sz w:val="16"/>
        </w:rPr>
        <w:t>shares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3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or</w:t>
      </w:r>
      <w:r>
        <w:rPr>
          <w:spacing w:val="-2"/>
          <w:sz w:val="16"/>
        </w:rPr>
        <w:t> </w:t>
      </w:r>
      <w:r>
        <w:rPr>
          <w:sz w:val="16"/>
        </w:rPr>
        <w:t>OP</w:t>
      </w:r>
      <w:r>
        <w:rPr>
          <w:spacing w:val="-6"/>
          <w:sz w:val="16"/>
        </w:rPr>
        <w:t> </w:t>
      </w:r>
      <w:r>
        <w:rPr>
          <w:sz w:val="16"/>
        </w:rPr>
        <w:t>Units.</w:t>
      </w:r>
      <w:r>
        <w:rPr>
          <w:spacing w:val="39"/>
          <w:sz w:val="16"/>
        </w:rPr>
        <w:t> </w:t>
      </w:r>
      <w:r>
        <w:rPr>
          <w:sz w:val="16"/>
        </w:rPr>
        <w:t>Mr.</w:t>
      </w:r>
      <w:r>
        <w:rPr>
          <w:spacing w:val="-2"/>
          <w:sz w:val="16"/>
        </w:rPr>
        <w:t> </w:t>
      </w:r>
      <w:r>
        <w:rPr>
          <w:sz w:val="16"/>
        </w:rPr>
        <w:t>Zell</w:t>
      </w:r>
      <w:r>
        <w:rPr>
          <w:spacing w:val="-3"/>
          <w:sz w:val="16"/>
        </w:rPr>
        <w:t> </w:t>
      </w:r>
      <w:r>
        <w:rPr>
          <w:sz w:val="16"/>
        </w:rPr>
        <w:t>disclaims</w:t>
      </w:r>
      <w:r>
        <w:rPr>
          <w:spacing w:val="-2"/>
          <w:sz w:val="16"/>
        </w:rPr>
        <w:t> </w:t>
      </w:r>
      <w:r>
        <w:rPr>
          <w:sz w:val="16"/>
        </w:rPr>
        <w:t>beneficial</w:t>
      </w:r>
      <w:r>
        <w:rPr>
          <w:spacing w:val="-3"/>
          <w:sz w:val="16"/>
        </w:rPr>
        <w:t> </w:t>
      </w:r>
      <w:r>
        <w:rPr>
          <w:sz w:val="16"/>
        </w:rPr>
        <w:t>ownership</w:t>
      </w:r>
      <w:r>
        <w:rPr>
          <w:spacing w:val="-3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such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3"/>
          <w:sz w:val="16"/>
        </w:rPr>
        <w:t> </w:t>
      </w:r>
      <w:r>
        <w:rPr>
          <w:sz w:val="16"/>
        </w:rPr>
        <w:t>Stock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OP</w:t>
      </w:r>
      <w:r>
        <w:rPr>
          <w:spacing w:val="-6"/>
          <w:sz w:val="16"/>
        </w:rPr>
        <w:t> </w:t>
      </w:r>
      <w:r>
        <w:rPr>
          <w:sz w:val="16"/>
        </w:rPr>
        <w:t>Units,</w:t>
      </w:r>
      <w:r>
        <w:rPr>
          <w:spacing w:val="-2"/>
          <w:sz w:val="16"/>
        </w:rPr>
        <w:t> </w:t>
      </w:r>
      <w:r>
        <w:rPr>
          <w:sz w:val="16"/>
        </w:rPr>
        <w:t>except</w:t>
      </w:r>
    </w:p>
    <w:p>
      <w:pPr>
        <w:spacing w:after="0" w:line="249" w:lineRule="auto"/>
        <w:jc w:val="left"/>
        <w:rPr>
          <w:sz w:val="16"/>
        </w:rPr>
        <w:sectPr>
          <w:type w:val="continuous"/>
          <w:pgSz w:w="12240" w:h="15840"/>
          <w:pgMar w:header="0" w:footer="517" w:top="860" w:bottom="280" w:left="740" w:right="700"/>
        </w:sectPr>
      </w:pPr>
    </w:p>
    <w:p>
      <w:pPr>
        <w:spacing w:line="249" w:lineRule="auto" w:before="81"/>
        <w:ind w:left="970" w:right="376" w:firstLine="0"/>
        <w:jc w:val="left"/>
        <w:rPr>
          <w:sz w:val="16"/>
        </w:rPr>
      </w:pPr>
      <w:r>
        <w:rPr>
          <w:sz w:val="16"/>
        </w:rPr>
        <w:t>to the extent of any pecuniary interest therein. As reported on Amendment No. 2 to Statement on Schedule 13D filed with the</w:t>
      </w:r>
      <w:r>
        <w:rPr>
          <w:spacing w:val="1"/>
          <w:sz w:val="16"/>
        </w:rPr>
        <w:t> </w:t>
      </w:r>
      <w:r>
        <w:rPr>
          <w:sz w:val="16"/>
        </w:rPr>
        <w:t>Securities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Exchange</w:t>
      </w:r>
      <w:r>
        <w:rPr>
          <w:spacing w:val="-3"/>
          <w:sz w:val="16"/>
        </w:rPr>
        <w:t> </w:t>
      </w:r>
      <w:r>
        <w:rPr>
          <w:sz w:val="16"/>
        </w:rPr>
        <w:t>Commission</w:t>
      </w:r>
      <w:r>
        <w:rPr>
          <w:spacing w:val="-4"/>
          <w:sz w:val="16"/>
        </w:rPr>
        <w:t> </w:t>
      </w:r>
      <w:r>
        <w:rPr>
          <w:sz w:val="16"/>
        </w:rPr>
        <w:t>on</w:t>
      </w:r>
      <w:r>
        <w:rPr>
          <w:spacing w:val="-3"/>
          <w:sz w:val="16"/>
        </w:rPr>
        <w:t> </w:t>
      </w:r>
      <w:r>
        <w:rPr>
          <w:sz w:val="16"/>
        </w:rPr>
        <w:t>October</w:t>
      </w:r>
      <w:r>
        <w:rPr>
          <w:spacing w:val="-3"/>
          <w:sz w:val="16"/>
        </w:rPr>
        <w:t> </w:t>
      </w:r>
      <w:r>
        <w:rPr>
          <w:sz w:val="16"/>
        </w:rPr>
        <w:t>23,</w:t>
      </w:r>
      <w:r>
        <w:rPr>
          <w:spacing w:val="-3"/>
          <w:sz w:val="16"/>
        </w:rPr>
        <w:t> </w:t>
      </w:r>
      <w:r>
        <w:rPr>
          <w:sz w:val="16"/>
        </w:rPr>
        <w:t>2015,</w:t>
      </w:r>
      <w:r>
        <w:rPr>
          <w:spacing w:val="-2"/>
          <w:sz w:val="16"/>
        </w:rPr>
        <w:t> </w:t>
      </w:r>
      <w:r>
        <w:rPr>
          <w:sz w:val="16"/>
        </w:rPr>
        <w:t>Chai</w:t>
      </w:r>
      <w:r>
        <w:rPr>
          <w:spacing w:val="-6"/>
          <w:sz w:val="16"/>
        </w:rPr>
        <w:t> </w:t>
      </w:r>
      <w:r>
        <w:rPr>
          <w:sz w:val="16"/>
        </w:rPr>
        <w:t>Trust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the</w:t>
      </w:r>
      <w:r>
        <w:rPr>
          <w:spacing w:val="-4"/>
          <w:sz w:val="16"/>
        </w:rPr>
        <w:t> </w:t>
      </w:r>
      <w:r>
        <w:rPr>
          <w:sz w:val="16"/>
        </w:rPr>
        <w:t>shares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3"/>
          <w:sz w:val="16"/>
        </w:rPr>
        <w:t> </w:t>
      </w:r>
      <w:r>
        <w:rPr>
          <w:sz w:val="16"/>
        </w:rPr>
        <w:t>Common</w:t>
      </w:r>
      <w:r>
        <w:rPr>
          <w:spacing w:val="-4"/>
          <w:sz w:val="16"/>
        </w:rPr>
        <w:t> </w:t>
      </w:r>
      <w:r>
        <w:rPr>
          <w:sz w:val="16"/>
        </w:rPr>
        <w:t>Stock</w:t>
      </w:r>
      <w:r>
        <w:rPr>
          <w:spacing w:val="-2"/>
          <w:sz w:val="16"/>
        </w:rPr>
        <w:t> </w:t>
      </w:r>
      <w:r>
        <w:rPr>
          <w:sz w:val="16"/>
        </w:rPr>
        <w:t>and</w:t>
      </w:r>
      <w:r>
        <w:rPr>
          <w:spacing w:val="-4"/>
          <w:sz w:val="16"/>
        </w:rPr>
        <w:t> </w:t>
      </w:r>
      <w:r>
        <w:rPr>
          <w:sz w:val="16"/>
        </w:rPr>
        <w:t>OP</w:t>
      </w:r>
      <w:r>
        <w:rPr>
          <w:spacing w:val="-5"/>
          <w:sz w:val="16"/>
        </w:rPr>
        <w:t> </w:t>
      </w:r>
      <w:r>
        <w:rPr>
          <w:sz w:val="16"/>
        </w:rPr>
        <w:t>Units</w:t>
      </w:r>
      <w:r>
        <w:rPr>
          <w:spacing w:val="-3"/>
          <w:sz w:val="16"/>
        </w:rPr>
        <w:t> </w:t>
      </w:r>
      <w:r>
        <w:rPr>
          <w:sz w:val="16"/>
        </w:rPr>
        <w:t>over</w:t>
      </w:r>
      <w:r>
        <w:rPr>
          <w:spacing w:val="-3"/>
          <w:sz w:val="16"/>
        </w:rPr>
        <w:t> </w:t>
      </w:r>
      <w:r>
        <w:rPr>
          <w:sz w:val="16"/>
        </w:rPr>
        <w:t>which</w:t>
      </w:r>
      <w:r>
        <w:rPr>
          <w:spacing w:val="-3"/>
          <w:sz w:val="16"/>
        </w:rPr>
        <w:t> </w:t>
      </w:r>
      <w:r>
        <w:rPr>
          <w:sz w:val="16"/>
        </w:rPr>
        <w:t>it</w:t>
      </w:r>
      <w:r>
        <w:rPr>
          <w:spacing w:val="1"/>
          <w:sz w:val="16"/>
        </w:rPr>
        <w:t> </w:t>
      </w:r>
      <w:r>
        <w:rPr>
          <w:sz w:val="16"/>
        </w:rPr>
        <w:t>has</w:t>
      </w:r>
      <w:r>
        <w:rPr>
          <w:spacing w:val="-2"/>
          <w:sz w:val="16"/>
        </w:rPr>
        <w:t> </w:t>
      </w:r>
      <w:r>
        <w:rPr>
          <w:sz w:val="16"/>
        </w:rPr>
        <w:t>voting</w:t>
      </w:r>
      <w:r>
        <w:rPr>
          <w:spacing w:val="-3"/>
          <w:sz w:val="16"/>
        </w:rPr>
        <w:t> </w:t>
      </w:r>
      <w:r>
        <w:rPr>
          <w:sz w:val="16"/>
        </w:rPr>
        <w:t>and</w:t>
      </w:r>
      <w:r>
        <w:rPr>
          <w:spacing w:val="-3"/>
          <w:sz w:val="16"/>
        </w:rPr>
        <w:t> </w:t>
      </w:r>
      <w:r>
        <w:rPr>
          <w:sz w:val="16"/>
        </w:rPr>
        <w:t>investment</w:t>
      </w:r>
      <w:r>
        <w:rPr>
          <w:spacing w:val="-2"/>
          <w:sz w:val="16"/>
        </w:rPr>
        <w:t> </w:t>
      </w:r>
      <w:r>
        <w:rPr>
          <w:sz w:val="16"/>
        </w:rPr>
        <w:t>power</w:t>
      </w:r>
      <w:r>
        <w:rPr>
          <w:spacing w:val="-2"/>
          <w:sz w:val="16"/>
        </w:rPr>
        <w:t> </w:t>
      </w:r>
      <w:r>
        <w:rPr>
          <w:sz w:val="16"/>
        </w:rPr>
        <w:t>are</w:t>
      </w:r>
      <w:r>
        <w:rPr>
          <w:spacing w:val="-2"/>
          <w:sz w:val="16"/>
        </w:rPr>
        <w:t> </w:t>
      </w:r>
      <w:r>
        <w:rPr>
          <w:sz w:val="16"/>
        </w:rPr>
        <w:t>a</w:t>
      </w:r>
      <w:r>
        <w:rPr>
          <w:spacing w:val="-3"/>
          <w:sz w:val="16"/>
        </w:rPr>
        <w:t> </w:t>
      </w:r>
      <w:r>
        <w:rPr>
          <w:sz w:val="16"/>
        </w:rPr>
        <w:t>separate</w:t>
      </w:r>
      <w:r>
        <w:rPr>
          <w:spacing w:val="-3"/>
          <w:sz w:val="16"/>
        </w:rPr>
        <w:t> </w:t>
      </w:r>
      <w:r>
        <w:rPr>
          <w:sz w:val="16"/>
        </w:rPr>
        <w:t>group</w:t>
      </w:r>
      <w:r>
        <w:rPr>
          <w:spacing w:val="-3"/>
          <w:sz w:val="16"/>
        </w:rPr>
        <w:t> </w:t>
      </w:r>
      <w:r>
        <w:rPr>
          <w:sz w:val="16"/>
        </w:rPr>
        <w:t>for</w:t>
      </w:r>
      <w:r>
        <w:rPr>
          <w:spacing w:val="-2"/>
          <w:sz w:val="16"/>
        </w:rPr>
        <w:t> </w:t>
      </w:r>
      <w:r>
        <w:rPr>
          <w:sz w:val="16"/>
        </w:rPr>
        <w:t>purposes</w:t>
      </w:r>
      <w:r>
        <w:rPr>
          <w:spacing w:val="-1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section</w:t>
      </w:r>
      <w:r>
        <w:rPr>
          <w:spacing w:val="-3"/>
          <w:sz w:val="16"/>
        </w:rPr>
        <w:t> </w:t>
      </w:r>
      <w:r>
        <w:rPr>
          <w:sz w:val="16"/>
        </w:rPr>
        <w:t>13(d)(3)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the</w:t>
      </w:r>
      <w:r>
        <w:rPr>
          <w:spacing w:val="-3"/>
          <w:sz w:val="16"/>
        </w:rPr>
        <w:t> </w:t>
      </w:r>
      <w:r>
        <w:rPr>
          <w:sz w:val="16"/>
        </w:rPr>
        <w:t>Securities</w:t>
      </w:r>
      <w:r>
        <w:rPr>
          <w:spacing w:val="-1"/>
          <w:sz w:val="16"/>
        </w:rPr>
        <w:t> </w:t>
      </w:r>
      <w:r>
        <w:rPr>
          <w:sz w:val="16"/>
        </w:rPr>
        <w:t>Exchange</w:t>
      </w:r>
      <w:r>
        <w:rPr>
          <w:spacing w:val="-11"/>
          <w:sz w:val="16"/>
        </w:rPr>
        <w:t> </w:t>
      </w:r>
      <w:r>
        <w:rPr>
          <w:sz w:val="16"/>
        </w:rPr>
        <w:t>Act</w:t>
      </w:r>
      <w:r>
        <w:rPr>
          <w:spacing w:val="-2"/>
          <w:sz w:val="16"/>
        </w:rPr>
        <w:t> </w:t>
      </w:r>
      <w:r>
        <w:rPr>
          <w:sz w:val="16"/>
        </w:rPr>
        <w:t>of</w:t>
      </w:r>
      <w:r>
        <w:rPr>
          <w:spacing w:val="-2"/>
          <w:sz w:val="16"/>
        </w:rPr>
        <w:t> </w:t>
      </w:r>
      <w:r>
        <w:rPr>
          <w:sz w:val="16"/>
        </w:rPr>
        <w:t>1934.</w:t>
      </w:r>
    </w:p>
    <w:p>
      <w:pPr>
        <w:pStyle w:val="BodyText"/>
        <w:rPr>
          <w:sz w:val="18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0"/>
        <w:ind w:left="65" w:right="98"/>
      </w:pPr>
      <w:bookmarkStart w:name="Questions and Answers About the Annual M" w:id="82"/>
      <w:bookmarkEnd w:id="82"/>
      <w:r>
        <w:rPr>
          <w:b w:val="0"/>
        </w:rPr>
      </w:r>
      <w:bookmarkStart w:name="_bookmark37" w:id="83"/>
      <w:bookmarkEnd w:id="83"/>
      <w:r>
        <w:rPr>
          <w:b w:val="0"/>
        </w:rPr>
      </w:r>
      <w:r>
        <w:rPr>
          <w:color w:val="00539E"/>
        </w:rPr>
        <w:t>QUESTIONS</w:t>
      </w:r>
      <w:r>
        <w:rPr>
          <w:color w:val="00539E"/>
          <w:spacing w:val="-3"/>
        </w:rPr>
        <w:t> </w:t>
      </w:r>
      <w:r>
        <w:rPr>
          <w:color w:val="00539E"/>
        </w:rPr>
        <w:t>AND</w:t>
      </w:r>
      <w:r>
        <w:rPr>
          <w:color w:val="00539E"/>
          <w:spacing w:val="-3"/>
        </w:rPr>
        <w:t> </w:t>
      </w:r>
      <w:r>
        <w:rPr>
          <w:color w:val="00539E"/>
        </w:rPr>
        <w:t>ANSWERS</w:t>
      </w:r>
      <w:r>
        <w:rPr>
          <w:color w:val="00539E"/>
          <w:spacing w:val="-3"/>
        </w:rPr>
        <w:t> </w:t>
      </w:r>
      <w:r>
        <w:rPr>
          <w:color w:val="00539E"/>
        </w:rPr>
        <w:t>ABOUT</w:t>
      </w:r>
      <w:r>
        <w:rPr>
          <w:color w:val="00539E"/>
          <w:spacing w:val="-3"/>
        </w:rPr>
        <w:t> </w:t>
      </w:r>
      <w:r>
        <w:rPr>
          <w:color w:val="00539E"/>
        </w:rPr>
        <w:t>THE</w:t>
      </w:r>
      <w:r>
        <w:rPr>
          <w:color w:val="00539E"/>
          <w:spacing w:val="-3"/>
        </w:rPr>
        <w:t> </w:t>
      </w:r>
      <w:r>
        <w:rPr>
          <w:color w:val="00539E"/>
        </w:rPr>
        <w:t>ANNUAL</w:t>
      </w:r>
      <w:r>
        <w:rPr>
          <w:color w:val="00539E"/>
          <w:spacing w:val="-2"/>
        </w:rPr>
        <w:t> </w:t>
      </w:r>
      <w:r>
        <w:rPr>
          <w:color w:val="00539E"/>
        </w:rPr>
        <w:t>MEETING</w:t>
      </w:r>
    </w:p>
    <w:p>
      <w:pPr>
        <w:pStyle w:val="BodyText"/>
        <w:spacing w:before="5"/>
        <w:rPr>
          <w:b/>
        </w:rPr>
      </w:pPr>
    </w:p>
    <w:p>
      <w:pPr>
        <w:pStyle w:val="Heading3"/>
      </w:pPr>
      <w:r>
        <w:rPr>
          <w:color w:val="00539E"/>
        </w:rPr>
        <w:t>Q:</w:t>
      </w:r>
      <w:r>
        <w:rPr>
          <w:color w:val="00539E"/>
          <w:spacing w:val="50"/>
        </w:rPr>
        <w:t> </w:t>
      </w:r>
      <w:r>
        <w:rPr/>
        <w:t>Why</w:t>
      </w:r>
      <w:r>
        <w:rPr>
          <w:spacing w:val="-2"/>
        </w:rPr>
        <w:t> </w:t>
      </w:r>
      <w:r>
        <w:rPr/>
        <w:t>did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receive</w:t>
      </w:r>
      <w:r>
        <w:rPr>
          <w:spacing w:val="-2"/>
        </w:rPr>
        <w:t> </w:t>
      </w:r>
      <w:r>
        <w:rPr/>
        <w:t>these</w:t>
      </w:r>
      <w:r>
        <w:rPr>
          <w:spacing w:val="-2"/>
        </w:rPr>
        <w:t> </w:t>
      </w:r>
      <w:r>
        <w:rPr/>
        <w:t>materials?</w:t>
      </w:r>
    </w:p>
    <w:p>
      <w:pPr>
        <w:pStyle w:val="BodyText"/>
        <w:spacing w:line="252" w:lineRule="auto" w:before="111"/>
        <w:ind w:left="610" w:right="321" w:hanging="360"/>
      </w:pPr>
      <w:r>
        <w:rPr>
          <w:b/>
          <w:color w:val="F08A1F"/>
          <w:sz w:val="22"/>
        </w:rPr>
        <w:t>A:</w:t>
      </w:r>
      <w:r>
        <w:rPr>
          <w:b/>
          <w:color w:val="F08A1F"/>
          <w:spacing w:val="60"/>
          <w:sz w:val="22"/>
        </w:rPr>
        <w:t> </w:t>
      </w:r>
      <w:r>
        <w:rPr/>
        <w:t>Pursuant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SEC</w:t>
      </w:r>
      <w:r>
        <w:rPr>
          <w:spacing w:val="-3"/>
        </w:rPr>
        <w:t> </w:t>
      </w:r>
      <w:r>
        <w:rPr/>
        <w:t>notice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rules,</w:t>
      </w:r>
      <w:r>
        <w:rPr>
          <w:spacing w:val="-3"/>
        </w:rPr>
        <w:t> </w:t>
      </w:r>
      <w:r>
        <w:rPr/>
        <w:t>we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elected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4"/>
        </w:rPr>
        <w:t> </w:t>
      </w:r>
      <w:r>
        <w:rPr/>
        <w:t>access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our</w:t>
      </w:r>
      <w:r>
        <w:rPr>
          <w:spacing w:val="-4"/>
        </w:rPr>
        <w:t> </w:t>
      </w:r>
      <w:r>
        <w:rPr/>
        <w:t>proxy</w:t>
      </w:r>
      <w:r>
        <w:rPr>
          <w:spacing w:val="-3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Internet.</w:t>
      </w:r>
      <w:r>
        <w:rPr>
          <w:spacing w:val="55"/>
        </w:rPr>
        <w:t> </w:t>
      </w:r>
      <w:r>
        <w:rPr/>
        <w:t>Accordingly, on or about March 17, 2022, we will begin mailing to all stockholders of record at the</w:t>
      </w:r>
      <w:r>
        <w:rPr>
          <w:spacing w:val="1"/>
        </w:rPr>
        <w:t> </w:t>
      </w:r>
      <w:r>
        <w:rPr/>
        <w:t>close of business on the Record Date a Notice of Internet Availability of Proxy Materials (the "Notice"). All</w:t>
      </w:r>
      <w:r>
        <w:rPr>
          <w:spacing w:val="1"/>
        </w:rPr>
        <w:t> </w:t>
      </w:r>
      <w:r>
        <w:rPr/>
        <w:t>stockholders will have the ability to access the proxy materials on the website referred to in the Notice or may</w:t>
      </w:r>
      <w:r>
        <w:rPr>
          <w:spacing w:val="1"/>
        </w:rPr>
        <w:t> </w:t>
      </w:r>
      <w:r>
        <w:rPr/>
        <w:t>request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receive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set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proxy</w:t>
      </w:r>
      <w:r>
        <w:rPr>
          <w:spacing w:val="-2"/>
        </w:rPr>
        <w:t> </w:t>
      </w:r>
      <w:r>
        <w:rPr/>
        <w:t>materials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printed</w:t>
      </w:r>
      <w:r>
        <w:rPr>
          <w:spacing w:val="-3"/>
        </w:rPr>
        <w:t> </w:t>
      </w:r>
      <w:r>
        <w:rPr/>
        <w:t>form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mail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electronically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email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charge.</w:t>
      </w:r>
    </w:p>
    <w:p>
      <w:pPr>
        <w:pStyle w:val="BodyText"/>
        <w:spacing w:line="249" w:lineRule="auto"/>
        <w:ind w:left="610" w:right="282"/>
      </w:pPr>
      <w:r>
        <w:rPr/>
        <w:t>Instructions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access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proxy</w:t>
      </w:r>
      <w:r>
        <w:rPr>
          <w:spacing w:val="-4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over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Internet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request</w:t>
      </w:r>
      <w:r>
        <w:rPr>
          <w:spacing w:val="-4"/>
        </w:rPr>
        <w:t> </w:t>
      </w:r>
      <w:r>
        <w:rPr/>
        <w:t>printed</w:t>
      </w:r>
      <w:r>
        <w:rPr>
          <w:spacing w:val="-4"/>
        </w:rPr>
        <w:t> </w:t>
      </w:r>
      <w:r>
        <w:rPr/>
        <w:t>copies</w:t>
      </w:r>
      <w:r>
        <w:rPr>
          <w:spacing w:val="-4"/>
        </w:rPr>
        <w:t> </w:t>
      </w:r>
      <w:r>
        <w:rPr/>
        <w:t>are</w:t>
      </w:r>
      <w:r>
        <w:rPr>
          <w:spacing w:val="1"/>
        </w:rPr>
        <w:t> </w:t>
      </w:r>
      <w:r>
        <w:rPr/>
        <w:t>included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Notice.</w:t>
      </w:r>
    </w:p>
    <w:p>
      <w:pPr>
        <w:spacing w:line="345" w:lineRule="auto" w:before="195"/>
        <w:ind w:left="250" w:right="4211" w:firstLine="0"/>
        <w:jc w:val="left"/>
        <w:rPr>
          <w:sz w:val="20"/>
        </w:rPr>
      </w:pPr>
      <w:r>
        <w:rPr>
          <w:b/>
          <w:color w:val="00539E"/>
          <w:sz w:val="22"/>
        </w:rPr>
        <w:t>Q:</w:t>
      </w:r>
      <w:r>
        <w:rPr>
          <w:b/>
          <w:color w:val="00539E"/>
          <w:spacing w:val="49"/>
          <w:sz w:val="22"/>
        </w:rPr>
        <w:t> </w:t>
      </w:r>
      <w:r>
        <w:rPr>
          <w:b/>
          <w:sz w:val="22"/>
        </w:rPr>
        <w:t>How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can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get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electronic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access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proxy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materials?</w:t>
      </w:r>
      <w:r>
        <w:rPr>
          <w:b/>
          <w:spacing w:val="-58"/>
          <w:sz w:val="22"/>
        </w:rPr>
        <w:t> </w:t>
      </w:r>
      <w:r>
        <w:rPr>
          <w:b/>
          <w:color w:val="F08A1F"/>
          <w:sz w:val="22"/>
        </w:rPr>
        <w:t>A:</w:t>
      </w:r>
      <w:r>
        <w:rPr>
          <w:b/>
          <w:color w:val="F08A1F"/>
          <w:spacing w:val="1"/>
          <w:sz w:val="22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Notice</w:t>
      </w:r>
      <w:r>
        <w:rPr>
          <w:spacing w:val="-3"/>
          <w:sz w:val="20"/>
        </w:rPr>
        <w:t> </w:t>
      </w:r>
      <w:r>
        <w:rPr>
          <w:sz w:val="20"/>
        </w:rPr>
        <w:t>will</w:t>
      </w:r>
      <w:r>
        <w:rPr>
          <w:spacing w:val="-3"/>
          <w:sz w:val="20"/>
        </w:rPr>
        <w:t> </w:t>
      </w:r>
      <w:r>
        <w:rPr>
          <w:sz w:val="20"/>
        </w:rPr>
        <w:t>provide</w:t>
      </w:r>
      <w:r>
        <w:rPr>
          <w:spacing w:val="-3"/>
          <w:sz w:val="20"/>
        </w:rPr>
        <w:t> </w:t>
      </w:r>
      <w:r>
        <w:rPr>
          <w:sz w:val="20"/>
        </w:rPr>
        <w:t>you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-3"/>
          <w:sz w:val="20"/>
        </w:rPr>
        <w:t> </w:t>
      </w:r>
      <w:r>
        <w:rPr>
          <w:sz w:val="20"/>
        </w:rPr>
        <w:t>instructions</w:t>
      </w:r>
      <w:r>
        <w:rPr>
          <w:spacing w:val="-3"/>
          <w:sz w:val="20"/>
        </w:rPr>
        <w:t> </w:t>
      </w:r>
      <w:r>
        <w:rPr>
          <w:sz w:val="20"/>
        </w:rPr>
        <w:t>regarding</w:t>
      </w:r>
      <w:r>
        <w:rPr>
          <w:spacing w:val="-3"/>
          <w:sz w:val="20"/>
        </w:rPr>
        <w:t> </w:t>
      </w:r>
      <w:r>
        <w:rPr>
          <w:sz w:val="20"/>
        </w:rPr>
        <w:t>how</w:t>
      </w:r>
      <w:r>
        <w:rPr>
          <w:spacing w:val="-3"/>
          <w:sz w:val="20"/>
        </w:rPr>
        <w:t> </w:t>
      </w:r>
      <w:r>
        <w:rPr>
          <w:sz w:val="20"/>
        </w:rPr>
        <w:t>to:</w:t>
      </w:r>
    </w:p>
    <w:p>
      <w:pPr>
        <w:pStyle w:val="ListParagraph"/>
        <w:numPr>
          <w:ilvl w:val="0"/>
          <w:numId w:val="22"/>
        </w:numPr>
        <w:tabs>
          <w:tab w:pos="969" w:val="left" w:leader="none"/>
          <w:tab w:pos="970" w:val="left" w:leader="none"/>
        </w:tabs>
        <w:spacing w:line="240" w:lineRule="auto" w:before="3" w:after="0"/>
        <w:ind w:left="970" w:right="0" w:hanging="360"/>
        <w:jc w:val="left"/>
        <w:rPr>
          <w:sz w:val="20"/>
        </w:rPr>
      </w:pPr>
      <w:r>
        <w:rPr>
          <w:spacing w:val="-1"/>
          <w:sz w:val="20"/>
        </w:rPr>
        <w:t>View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our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proxy</w:t>
      </w:r>
      <w:r>
        <w:rPr>
          <w:spacing w:val="-3"/>
          <w:sz w:val="20"/>
        </w:rPr>
        <w:t> </w:t>
      </w:r>
      <w:r>
        <w:rPr>
          <w:spacing w:val="-1"/>
          <w:sz w:val="20"/>
        </w:rPr>
        <w:t>materials</w:t>
      </w:r>
      <w:r>
        <w:rPr>
          <w:spacing w:val="-2"/>
          <w:sz w:val="20"/>
        </w:rPr>
        <w:t> </w:t>
      </w:r>
      <w:r>
        <w:rPr>
          <w:sz w:val="20"/>
        </w:rPr>
        <w:t>for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14"/>
          <w:sz w:val="20"/>
        </w:rPr>
        <w:t> </w:t>
      </w:r>
      <w:r>
        <w:rPr>
          <w:sz w:val="20"/>
        </w:rPr>
        <w:t>Annual</w:t>
      </w:r>
      <w:r>
        <w:rPr>
          <w:spacing w:val="-2"/>
          <w:sz w:val="20"/>
        </w:rPr>
        <w:t> </w:t>
      </w:r>
      <w:r>
        <w:rPr>
          <w:sz w:val="20"/>
        </w:rPr>
        <w:t>Meeting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3"/>
          <w:sz w:val="20"/>
        </w:rPr>
        <w:t> </w:t>
      </w:r>
      <w:r>
        <w:rPr>
          <w:sz w:val="20"/>
        </w:rPr>
        <w:t>the</w:t>
      </w:r>
      <w:r>
        <w:rPr>
          <w:spacing w:val="-3"/>
          <w:sz w:val="20"/>
        </w:rPr>
        <w:t> </w:t>
      </w:r>
      <w:r>
        <w:rPr>
          <w:sz w:val="20"/>
        </w:rPr>
        <w:t>Internet;</w:t>
      </w:r>
      <w:r>
        <w:rPr>
          <w:spacing w:val="-2"/>
          <w:sz w:val="20"/>
        </w:rPr>
        <w:t> </w:t>
      </w:r>
      <w:r>
        <w:rPr>
          <w:sz w:val="20"/>
        </w:rPr>
        <w:t>and</w:t>
      </w:r>
    </w:p>
    <w:p>
      <w:pPr>
        <w:pStyle w:val="ListParagraph"/>
        <w:numPr>
          <w:ilvl w:val="0"/>
          <w:numId w:val="22"/>
        </w:numPr>
        <w:tabs>
          <w:tab w:pos="969" w:val="left" w:leader="none"/>
          <w:tab w:pos="970" w:val="left" w:leader="none"/>
        </w:tabs>
        <w:spacing w:line="240" w:lineRule="auto" w:before="10" w:after="0"/>
        <w:ind w:left="970" w:right="0" w:hanging="360"/>
        <w:jc w:val="left"/>
        <w:rPr>
          <w:sz w:val="20"/>
        </w:rPr>
      </w:pPr>
      <w:r>
        <w:rPr>
          <w:sz w:val="20"/>
        </w:rPr>
        <w:t>Instruct</w:t>
      </w:r>
      <w:r>
        <w:rPr>
          <w:spacing w:val="-4"/>
          <w:sz w:val="20"/>
        </w:rPr>
        <w:t> </w:t>
      </w:r>
      <w:r>
        <w:rPr>
          <w:sz w:val="20"/>
        </w:rPr>
        <w:t>us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send</w:t>
      </w:r>
      <w:r>
        <w:rPr>
          <w:spacing w:val="-4"/>
          <w:sz w:val="20"/>
        </w:rPr>
        <w:t> </w:t>
      </w:r>
      <w:r>
        <w:rPr>
          <w:sz w:val="20"/>
        </w:rPr>
        <w:t>our</w:t>
      </w:r>
      <w:r>
        <w:rPr>
          <w:spacing w:val="-4"/>
          <w:sz w:val="20"/>
        </w:rPr>
        <w:t> </w:t>
      </w:r>
      <w:r>
        <w:rPr>
          <w:sz w:val="20"/>
        </w:rPr>
        <w:t>future</w:t>
      </w:r>
      <w:r>
        <w:rPr>
          <w:spacing w:val="-4"/>
          <w:sz w:val="20"/>
        </w:rPr>
        <w:t> </w:t>
      </w:r>
      <w:r>
        <w:rPr>
          <w:sz w:val="20"/>
        </w:rPr>
        <w:t>proxy</w:t>
      </w:r>
      <w:r>
        <w:rPr>
          <w:spacing w:val="-4"/>
          <w:sz w:val="20"/>
        </w:rPr>
        <w:t> </w:t>
      </w:r>
      <w:r>
        <w:rPr>
          <w:sz w:val="20"/>
        </w:rPr>
        <w:t>materials</w:t>
      </w:r>
      <w:r>
        <w:rPr>
          <w:spacing w:val="-4"/>
          <w:sz w:val="20"/>
        </w:rPr>
        <w:t> </w:t>
      </w:r>
      <w:r>
        <w:rPr>
          <w:sz w:val="20"/>
        </w:rPr>
        <w:t>to</w:t>
      </w:r>
      <w:r>
        <w:rPr>
          <w:spacing w:val="-4"/>
          <w:sz w:val="20"/>
        </w:rPr>
        <w:t> </w:t>
      </w:r>
      <w:r>
        <w:rPr>
          <w:sz w:val="20"/>
        </w:rPr>
        <w:t>you</w:t>
      </w:r>
      <w:r>
        <w:rPr>
          <w:spacing w:val="-4"/>
          <w:sz w:val="20"/>
        </w:rPr>
        <w:t> </w:t>
      </w:r>
      <w:r>
        <w:rPr>
          <w:sz w:val="20"/>
        </w:rPr>
        <w:t>electronically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4"/>
          <w:sz w:val="20"/>
        </w:rPr>
        <w:t> </w:t>
      </w:r>
      <w:r>
        <w:rPr>
          <w:sz w:val="20"/>
        </w:rPr>
        <w:t>email.</w:t>
      </w:r>
    </w:p>
    <w:p>
      <w:pPr>
        <w:pStyle w:val="BodyText"/>
        <w:spacing w:line="249" w:lineRule="auto" w:before="110"/>
        <w:ind w:left="610" w:right="349"/>
      </w:pPr>
      <w:r>
        <w:rPr/>
        <w:t>Choosing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receive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future</w:t>
      </w:r>
      <w:r>
        <w:rPr>
          <w:spacing w:val="-4"/>
        </w:rPr>
        <w:t> </w:t>
      </w:r>
      <w:r>
        <w:rPr/>
        <w:t>proxy</w:t>
      </w:r>
      <w:r>
        <w:rPr>
          <w:spacing w:val="-4"/>
        </w:rPr>
        <w:t> </w:t>
      </w:r>
      <w:r>
        <w:rPr/>
        <w:t>materials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email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save</w:t>
      </w:r>
      <w:r>
        <w:rPr>
          <w:spacing w:val="-3"/>
        </w:rPr>
        <w:t> </w:t>
      </w:r>
      <w:r>
        <w:rPr/>
        <w:t>us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printing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mailing</w:t>
      </w:r>
      <w:r>
        <w:rPr>
          <w:spacing w:val="-4"/>
        </w:rPr>
        <w:t> </w:t>
      </w:r>
      <w:r>
        <w:rPr/>
        <w:t>documents</w:t>
      </w:r>
      <w:r>
        <w:rPr>
          <w:spacing w:val="1"/>
        </w:rPr>
        <w:t> </w:t>
      </w:r>
      <w:r>
        <w:rPr/>
        <w:t>to you and will reduce the impact of our Annual Meetings on the environment. If you choose to receive future</w:t>
      </w:r>
      <w:r>
        <w:rPr>
          <w:spacing w:val="1"/>
        </w:rPr>
        <w:t> </w:t>
      </w:r>
      <w:r>
        <w:rPr/>
        <w:t>proxy materials by</w:t>
      </w:r>
      <w:r>
        <w:rPr>
          <w:spacing w:val="1"/>
        </w:rPr>
        <w:t> </w:t>
      </w:r>
      <w:r>
        <w:rPr/>
        <w:t>email, you will</w:t>
      </w:r>
      <w:r>
        <w:rPr>
          <w:spacing w:val="1"/>
        </w:rPr>
        <w:t> </w:t>
      </w:r>
      <w:r>
        <w:rPr/>
        <w:t>receive an email</w:t>
      </w:r>
      <w:r>
        <w:rPr>
          <w:spacing w:val="1"/>
        </w:rPr>
        <w:t> </w:t>
      </w:r>
      <w:r>
        <w:rPr/>
        <w:t>next year with</w:t>
      </w:r>
      <w:r>
        <w:rPr>
          <w:spacing w:val="1"/>
        </w:rPr>
        <w:t> </w:t>
      </w:r>
      <w:r>
        <w:rPr/>
        <w:t>instructions containing</w:t>
      </w:r>
      <w:r>
        <w:rPr>
          <w:spacing w:val="1"/>
        </w:rPr>
        <w:t> </w:t>
      </w:r>
      <w:r>
        <w:rPr/>
        <w:t>a link 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materials and a link to the proxy voting site. Your election to receive proxy materials by email will remain in</w:t>
      </w:r>
      <w:r>
        <w:rPr>
          <w:spacing w:val="1"/>
        </w:rPr>
        <w:t> </w:t>
      </w:r>
      <w:r>
        <w:rPr/>
        <w:t>effect</w:t>
      </w:r>
      <w:r>
        <w:rPr>
          <w:spacing w:val="-2"/>
        </w:rPr>
        <w:t> </w:t>
      </w:r>
      <w:r>
        <w:rPr/>
        <w:t>until</w:t>
      </w:r>
      <w:r>
        <w:rPr>
          <w:spacing w:val="-1"/>
        </w:rPr>
        <w:t> </w:t>
      </w:r>
      <w:r>
        <w:rPr/>
        <w:t>you</w:t>
      </w:r>
      <w:r>
        <w:rPr>
          <w:spacing w:val="-1"/>
        </w:rPr>
        <w:t> </w:t>
      </w:r>
      <w:r>
        <w:rPr/>
        <w:t>terminate</w:t>
      </w:r>
      <w:r>
        <w:rPr>
          <w:spacing w:val="-1"/>
        </w:rPr>
        <w:t> </w:t>
      </w:r>
      <w:r>
        <w:rPr/>
        <w:t>it.</w:t>
      </w:r>
    </w:p>
    <w:p>
      <w:pPr>
        <w:pStyle w:val="BodyText"/>
        <w:spacing w:before="4"/>
        <w:rPr>
          <w:sz w:val="17"/>
        </w:rPr>
      </w:pPr>
    </w:p>
    <w:p>
      <w:pPr>
        <w:pStyle w:val="Heading3"/>
        <w:spacing w:before="1"/>
      </w:pPr>
      <w:r>
        <w:rPr>
          <w:color w:val="00539E"/>
        </w:rPr>
        <w:t>Q:</w:t>
      </w:r>
      <w:r>
        <w:rPr>
          <w:color w:val="00539E"/>
          <w:spacing w:val="52"/>
        </w:rPr>
        <w:t> </w:t>
      </w:r>
      <w:r>
        <w:rPr/>
        <w:t>Who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Entitled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Vote?</w:t>
      </w:r>
    </w:p>
    <w:p>
      <w:pPr>
        <w:pStyle w:val="BodyText"/>
        <w:spacing w:line="252" w:lineRule="auto" w:before="111"/>
        <w:ind w:left="610" w:right="376" w:hanging="360"/>
      </w:pPr>
      <w:r>
        <w:rPr>
          <w:b/>
          <w:color w:val="F08A1F"/>
          <w:sz w:val="22"/>
        </w:rPr>
        <w:t>A:</w:t>
      </w:r>
      <w:r>
        <w:rPr>
          <w:b/>
          <w:color w:val="F08A1F"/>
          <w:spacing w:val="58"/>
          <w:sz w:val="22"/>
        </w:rPr>
        <w:t> </w:t>
      </w:r>
      <w:r>
        <w:rPr/>
        <w:t>You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entitled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vote</w:t>
      </w:r>
      <w:r>
        <w:rPr>
          <w:spacing w:val="-4"/>
        </w:rPr>
        <w:t> </w:t>
      </w:r>
      <w:r>
        <w:rPr/>
        <w:t>your</w:t>
      </w:r>
      <w:r>
        <w:rPr>
          <w:spacing w:val="-5"/>
        </w:rPr>
        <w:t> </w:t>
      </w:r>
      <w:r>
        <w:rPr/>
        <w:t>shares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Company's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Stock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Proposals</w:t>
      </w:r>
      <w:r>
        <w:rPr>
          <w:spacing w:val="-4"/>
        </w:rPr>
        <w:t> </w:t>
      </w:r>
      <w:r>
        <w:rPr/>
        <w:t>if</w:t>
      </w:r>
      <w:r>
        <w:rPr>
          <w:spacing w:val="-4"/>
        </w:rPr>
        <w:t> </w:t>
      </w:r>
      <w:r>
        <w:rPr/>
        <w:t>you</w:t>
      </w:r>
      <w:r>
        <w:rPr>
          <w:spacing w:val="-4"/>
        </w:rPr>
        <w:t> </w:t>
      </w:r>
      <w:r>
        <w:rPr/>
        <w:t>held</w:t>
      </w:r>
      <w:r>
        <w:rPr>
          <w:spacing w:val="-4"/>
        </w:rPr>
        <w:t> </w:t>
      </w:r>
      <w:r>
        <w:rPr/>
        <w:t>your</w:t>
      </w:r>
      <w:r>
        <w:rPr>
          <w:spacing w:val="-4"/>
        </w:rPr>
        <w:t> </w:t>
      </w:r>
      <w:r>
        <w:rPr/>
        <w:t>shares</w:t>
      </w:r>
      <w:r>
        <w:rPr>
          <w:spacing w:val="1"/>
        </w:rPr>
        <w:t> </w:t>
      </w:r>
      <w:r>
        <w:rPr/>
        <w:t>of Common Stock at the close of business on the Record Date. As of the Record Date, a total of 186,014,442</w:t>
      </w:r>
      <w:r>
        <w:rPr>
          <w:spacing w:val="1"/>
        </w:rPr>
        <w:t> </w:t>
      </w:r>
      <w:r>
        <w:rPr/>
        <w:t>shares of Common Stock were outstanding and entitled to vote.</w:t>
      </w:r>
      <w:r>
        <w:rPr>
          <w:spacing w:val="1"/>
        </w:rPr>
        <w:t> </w:t>
      </w:r>
      <w:r>
        <w:rPr/>
        <w:t>Each share of Common Stock entitles its</w:t>
      </w:r>
      <w:r>
        <w:rPr>
          <w:spacing w:val="1"/>
        </w:rPr>
        <w:t> </w:t>
      </w:r>
      <w:r>
        <w:rPr/>
        <w:t>holder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cast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vote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matter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voted</w:t>
      </w:r>
      <w:r>
        <w:rPr>
          <w:spacing w:val="-2"/>
        </w:rPr>
        <w:t> </w:t>
      </w:r>
      <w:r>
        <w:rPr/>
        <w:t>upon.</w:t>
      </w:r>
    </w:p>
    <w:p>
      <w:pPr>
        <w:pStyle w:val="Heading3"/>
        <w:spacing w:before="194"/>
      </w:pPr>
      <w:r>
        <w:rPr>
          <w:color w:val="00539E"/>
        </w:rPr>
        <w:t>Q:</w:t>
      </w:r>
      <w:r>
        <w:rPr>
          <w:color w:val="00539E"/>
          <w:spacing w:val="50"/>
        </w:rPr>
        <w:t> </w:t>
      </w:r>
      <w:r>
        <w:rPr/>
        <w:t>What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Hold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Annual</w:t>
      </w:r>
      <w:r>
        <w:rPr>
          <w:spacing w:val="-2"/>
        </w:rPr>
        <w:t> </w:t>
      </w:r>
      <w:r>
        <w:rPr/>
        <w:t>Meeting?</w:t>
      </w:r>
    </w:p>
    <w:p>
      <w:pPr>
        <w:pStyle w:val="BodyText"/>
        <w:spacing w:line="252" w:lineRule="auto" w:before="111"/>
        <w:ind w:left="610" w:right="376" w:hanging="360"/>
      </w:pPr>
      <w:r>
        <w:rPr>
          <w:b/>
          <w:color w:val="F08A1F"/>
          <w:spacing w:val="-1"/>
          <w:sz w:val="22"/>
        </w:rPr>
        <w:t>A:</w:t>
      </w:r>
      <w:r>
        <w:rPr>
          <w:b/>
          <w:color w:val="F08A1F"/>
          <w:spacing w:val="2"/>
          <w:sz w:val="2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presence</w:t>
      </w:r>
      <w:r>
        <w:rPr>
          <w:spacing w:val="-3"/>
        </w:rPr>
        <w:t> </w:t>
      </w:r>
      <w:r>
        <w:rPr>
          <w:spacing w:val="-1"/>
        </w:rPr>
        <w:t>at</w:t>
      </w:r>
      <w:r>
        <w:rPr>
          <w:spacing w:val="-4"/>
        </w:rPr>
        <w:t> </w:t>
      </w:r>
      <w:r>
        <w:rPr/>
        <w:t>the</w:t>
      </w:r>
      <w:r>
        <w:rPr>
          <w:spacing w:val="-13"/>
        </w:rPr>
        <w:t> </w:t>
      </w:r>
      <w:r>
        <w:rPr/>
        <w:t>Annual</w:t>
      </w:r>
      <w:r>
        <w:rPr>
          <w:spacing w:val="-4"/>
        </w:rPr>
        <w:t> </w:t>
      </w:r>
      <w:r>
        <w:rPr/>
        <w:t>Meeting,</w:t>
      </w:r>
      <w:r>
        <w:rPr>
          <w:spacing w:val="-3"/>
        </w:rPr>
        <w:t> </w:t>
      </w:r>
      <w:r>
        <w:rPr/>
        <w:t>virtually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proxy,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holders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majority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shares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Common</w:t>
      </w:r>
      <w:r>
        <w:rPr>
          <w:spacing w:val="1"/>
        </w:rPr>
        <w:t> </w:t>
      </w:r>
      <w:r>
        <w:rPr/>
        <w:t>Stock outstanding and entitled to vote on the Record Date will constitute a quorum permitting business to be</w:t>
      </w:r>
      <w:r>
        <w:rPr>
          <w:spacing w:val="1"/>
        </w:rPr>
        <w:t> </w:t>
      </w:r>
      <w:r>
        <w:rPr/>
        <w:t>conducted at the Annual Meeting. If you have returned valid proxy instructions or you attend the Annual</w:t>
      </w:r>
      <w:r>
        <w:rPr>
          <w:spacing w:val="1"/>
        </w:rPr>
        <w:t> </w:t>
      </w:r>
      <w:r>
        <w:rPr/>
        <w:t>Meeting and vote virtually, your shares of Common Stock will be counted for purposes of determining whether</w:t>
      </w:r>
      <w:r>
        <w:rPr>
          <w:spacing w:val="1"/>
        </w:rPr>
        <w:t> </w:t>
      </w:r>
      <w:r>
        <w:rPr/>
        <w:t>there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quorum,</w:t>
      </w:r>
      <w:r>
        <w:rPr>
          <w:spacing w:val="-3"/>
        </w:rPr>
        <w:t> </w:t>
      </w:r>
      <w:r>
        <w:rPr/>
        <w:t>even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/>
        <w:t>you</w:t>
      </w:r>
      <w:r>
        <w:rPr>
          <w:spacing w:val="-3"/>
        </w:rPr>
        <w:t> </w:t>
      </w:r>
      <w:r>
        <w:rPr/>
        <w:t>abstain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voting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any</w:t>
      </w:r>
      <w:r>
        <w:rPr>
          <w:spacing w:val="-2"/>
        </w:rPr>
        <w:t> </w:t>
      </w:r>
      <w:r>
        <w:rPr/>
        <w:t>or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matters</w:t>
      </w:r>
      <w:r>
        <w:rPr>
          <w:spacing w:val="-3"/>
        </w:rPr>
        <w:t> </w:t>
      </w:r>
      <w:r>
        <w:rPr/>
        <w:t>introduced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13"/>
        </w:rPr>
        <w:t> </w:t>
      </w:r>
      <w:r>
        <w:rPr/>
        <w:t>Annual</w:t>
      </w:r>
      <w:r>
        <w:rPr>
          <w:spacing w:val="-3"/>
        </w:rPr>
        <w:t> </w:t>
      </w:r>
      <w:r>
        <w:rPr/>
        <w:t>Meeting.</w:t>
      </w:r>
    </w:p>
    <w:p>
      <w:pPr>
        <w:pStyle w:val="Heading3"/>
        <w:spacing w:before="192"/>
      </w:pPr>
      <w:r>
        <w:rPr>
          <w:color w:val="00539E"/>
        </w:rPr>
        <w:t>Q:</w:t>
      </w:r>
      <w:r>
        <w:rPr>
          <w:color w:val="00539E"/>
          <w:spacing w:val="52"/>
        </w:rPr>
        <w:t> </w:t>
      </w:r>
      <w:r>
        <w:rPr/>
        <w:t>How</w:t>
      </w:r>
      <w:r>
        <w:rPr>
          <w:spacing w:val="-1"/>
        </w:rPr>
        <w:t> </w:t>
      </w:r>
      <w:r>
        <w:rPr/>
        <w:t>Do</w:t>
      </w:r>
      <w:r>
        <w:rPr>
          <w:spacing w:val="-2"/>
        </w:rPr>
        <w:t> </w:t>
      </w:r>
      <w:r>
        <w:rPr/>
        <w:t>I Vote?</w:t>
      </w:r>
    </w:p>
    <w:p>
      <w:pPr>
        <w:pStyle w:val="BodyText"/>
        <w:spacing w:line="252" w:lineRule="auto" w:before="111"/>
        <w:ind w:left="610" w:right="330" w:hanging="360"/>
      </w:pPr>
      <w:r>
        <w:rPr>
          <w:b/>
          <w:color w:val="F08A1F"/>
          <w:spacing w:val="-1"/>
          <w:sz w:val="22"/>
        </w:rPr>
        <w:t>A:</w:t>
      </w:r>
      <w:r>
        <w:rPr>
          <w:b/>
          <w:color w:val="F08A1F"/>
          <w:sz w:val="22"/>
        </w:rPr>
        <w:t> </w:t>
      </w:r>
      <w:r>
        <w:rPr>
          <w:b/>
          <w:spacing w:val="-1"/>
        </w:rPr>
        <w:t>Your vote is important. </w:t>
      </w:r>
      <w:r>
        <w:rPr/>
        <w:t>Stockholders can vote virtually at the Annual Meeting or by proxy. Stockholders can</w:t>
      </w:r>
      <w:r>
        <w:rPr>
          <w:spacing w:val="1"/>
        </w:rPr>
        <w:t> </w:t>
      </w:r>
      <w:r>
        <w:rPr/>
        <w:t>vote online authorizing a proxy over the Internet by following the instructions provided in the Notice, or if you</w:t>
      </w:r>
      <w:r>
        <w:rPr>
          <w:spacing w:val="1"/>
        </w:rPr>
        <w:t> </w:t>
      </w:r>
      <w:r>
        <w:rPr/>
        <w:t>requested printed copies of the proxy materials, you can also authorize a proxy by using a toll-free telephone</w:t>
      </w:r>
      <w:r>
        <w:rPr>
          <w:spacing w:val="1"/>
        </w:rPr>
        <w:t> </w:t>
      </w:r>
      <w:r>
        <w:rPr/>
        <w:t>number or completing a proxy card and mailing it in the postage-paid envelope provided. Please refer to your</w:t>
      </w:r>
      <w:r>
        <w:rPr>
          <w:spacing w:val="1"/>
        </w:rPr>
        <w:t> </w:t>
      </w:r>
      <w:r>
        <w:rPr/>
        <w:t>Notice or proxy card or the information forwarded by your bank, broker or other nominee to see which options</w:t>
      </w:r>
      <w:r>
        <w:rPr>
          <w:spacing w:val="1"/>
        </w:rPr>
        <w:t> </w:t>
      </w:r>
      <w:r>
        <w:rPr/>
        <w:t>are available to you. If you authorize a proxy over the Internet or by telephone, you do NOT need to return your</w:t>
      </w:r>
      <w:r>
        <w:rPr>
          <w:spacing w:val="-53"/>
        </w:rPr>
        <w:t> </w:t>
      </w:r>
      <w:r>
        <w:rPr/>
        <w:t>proxy card. If you authorize a proxy, the individuals named on the proxy card as representatives will vote your</w:t>
      </w:r>
      <w:r>
        <w:rPr>
          <w:spacing w:val="1"/>
        </w:rPr>
        <w:t> </w:t>
      </w:r>
      <w:r>
        <w:rPr/>
        <w:t>shares of Common Stock in the manner you indicate. You may specify whether your shares of Common Stock</w:t>
      </w:r>
      <w:r>
        <w:rPr>
          <w:spacing w:val="1"/>
        </w:rPr>
        <w:t> </w:t>
      </w:r>
      <w:r>
        <w:rPr/>
        <w:t>should be voted for all, some or none of the nominees for Director and whether your shares of Common Stock</w:t>
      </w:r>
      <w:r>
        <w:rPr>
          <w:spacing w:val="1"/>
        </w:rPr>
        <w:t> </w:t>
      </w:r>
      <w:r>
        <w:rPr/>
        <w:t>should be voted for or against the other proposals. Stockholders who wish to vote virtually at the Annual</w:t>
      </w:r>
      <w:r>
        <w:rPr>
          <w:spacing w:val="1"/>
        </w:rPr>
        <w:t> </w:t>
      </w:r>
      <w:r>
        <w:rPr/>
        <w:t>Meeting will need to obtain a proxy from the broker, bank or other nominee that holds their shares of Common</w:t>
      </w:r>
      <w:r>
        <w:rPr>
          <w:spacing w:val="1"/>
        </w:rPr>
        <w:t> </w:t>
      </w:r>
      <w:r>
        <w:rPr/>
        <w:t>Stock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record.</w:t>
      </w:r>
    </w:p>
    <w:p>
      <w:pPr>
        <w:spacing w:after="0" w:line="252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Heading3"/>
        <w:spacing w:before="68"/>
      </w:pPr>
      <w:r>
        <w:rPr>
          <w:color w:val="00539E"/>
        </w:rPr>
        <w:t>Q:</w:t>
      </w:r>
      <w:r>
        <w:rPr>
          <w:color w:val="00539E"/>
          <w:spacing w:val="50"/>
        </w:rPr>
        <w:t> </w:t>
      </w:r>
      <w:r>
        <w:rPr/>
        <w:t>Can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Revoke</w:t>
      </w:r>
      <w:r>
        <w:rPr>
          <w:spacing w:val="-2"/>
        </w:rPr>
        <w:t> </w:t>
      </w:r>
      <w:r>
        <w:rPr/>
        <w:t>My</w:t>
      </w:r>
      <w:r>
        <w:rPr>
          <w:spacing w:val="-2"/>
        </w:rPr>
        <w:t> </w:t>
      </w:r>
      <w:r>
        <w:rPr/>
        <w:t>Proxy?</w:t>
      </w:r>
    </w:p>
    <w:p>
      <w:pPr>
        <w:pStyle w:val="BodyText"/>
        <w:spacing w:line="252" w:lineRule="auto" w:before="111"/>
        <w:ind w:left="610" w:right="376" w:hanging="360"/>
      </w:pPr>
      <w:r>
        <w:rPr>
          <w:b/>
          <w:color w:val="F08A1F"/>
          <w:sz w:val="22"/>
        </w:rPr>
        <w:t>A:</w:t>
      </w:r>
      <w:r>
        <w:rPr>
          <w:b/>
          <w:color w:val="F08A1F"/>
          <w:spacing w:val="1"/>
          <w:sz w:val="22"/>
        </w:rPr>
        <w:t> </w:t>
      </w:r>
      <w:r>
        <w:rPr/>
        <w:t>Yes, you may change your proxy at any time before the Annual Meeting by timely delivery of a properly</w:t>
      </w:r>
      <w:r>
        <w:rPr>
          <w:spacing w:val="1"/>
        </w:rPr>
        <w:t> </w:t>
      </w:r>
      <w:r>
        <w:rPr>
          <w:spacing w:val="-1"/>
        </w:rPr>
        <w:t>executed, later-dated proxy (including Internet </w:t>
      </w:r>
      <w:r>
        <w:rPr/>
        <w:t>or phone proxy) or by voting virtually at the Annual Meeting. You</w:t>
      </w:r>
      <w:r>
        <w:rPr>
          <w:spacing w:val="1"/>
        </w:rPr>
        <w:t> </w:t>
      </w:r>
      <w:r>
        <w:rPr/>
        <w:t>may revoke your proxy by filing a written notice with our Corporate Secretary at our address at any time before</w:t>
      </w:r>
      <w:r>
        <w:rPr>
          <w:spacing w:val="1"/>
        </w:rPr>
        <w:t> </w:t>
      </w:r>
      <w:r>
        <w:rPr/>
        <w:t>the Annual Meeting. The powers of the proxy holders will be suspended if you attend the Annual Meeting</w:t>
      </w:r>
      <w:r>
        <w:rPr>
          <w:spacing w:val="1"/>
        </w:rPr>
        <w:t> </w:t>
      </w:r>
      <w:r>
        <w:rPr>
          <w:spacing w:val="-1"/>
        </w:rPr>
        <w:t>virtually and request </w:t>
      </w:r>
      <w:r>
        <w:rPr/>
        <w:t>that they be so suspended. However, attendance (without further action) at the Annual</w:t>
      </w:r>
      <w:r>
        <w:rPr>
          <w:spacing w:val="1"/>
        </w:rPr>
        <w:t> </w:t>
      </w:r>
      <w:r>
        <w:rPr/>
        <w:t>Meeting</w:t>
      </w:r>
      <w:r>
        <w:rPr>
          <w:spacing w:val="-2"/>
        </w:rPr>
        <w:t> </w:t>
      </w:r>
      <w:r>
        <w:rPr/>
        <w:t>will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itself</w:t>
      </w:r>
      <w:r>
        <w:rPr>
          <w:spacing w:val="-2"/>
        </w:rPr>
        <w:t> </w:t>
      </w:r>
      <w:r>
        <w:rPr/>
        <w:t>revoke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previously</w:t>
      </w:r>
      <w:r>
        <w:rPr>
          <w:spacing w:val="-1"/>
        </w:rPr>
        <w:t> </w:t>
      </w:r>
      <w:r>
        <w:rPr/>
        <w:t>granted</w:t>
      </w:r>
      <w:r>
        <w:rPr>
          <w:spacing w:val="-2"/>
        </w:rPr>
        <w:t> </w:t>
      </w:r>
      <w:r>
        <w:rPr/>
        <w:t>proxy.</w:t>
      </w:r>
    </w:p>
    <w:p>
      <w:pPr>
        <w:pStyle w:val="Heading3"/>
        <w:spacing w:before="191"/>
      </w:pPr>
      <w:r>
        <w:rPr>
          <w:color w:val="00539E"/>
        </w:rPr>
        <w:t>Q:</w:t>
      </w:r>
      <w:r>
        <w:rPr>
          <w:color w:val="00539E"/>
          <w:spacing w:val="50"/>
        </w:rPr>
        <w:t> </w:t>
      </w:r>
      <w:r>
        <w:rPr/>
        <w:t>How</w:t>
      </w:r>
      <w:r>
        <w:rPr>
          <w:spacing w:val="-2"/>
        </w:rPr>
        <w:t> </w:t>
      </w:r>
      <w:r>
        <w:rPr/>
        <w:t>Do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Attend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Virtual</w:t>
      </w:r>
      <w:r>
        <w:rPr>
          <w:spacing w:val="-2"/>
        </w:rPr>
        <w:t> </w:t>
      </w:r>
      <w:r>
        <w:rPr/>
        <w:t>Annual</w:t>
      </w:r>
      <w:r>
        <w:rPr>
          <w:spacing w:val="-2"/>
        </w:rPr>
        <w:t> </w:t>
      </w:r>
      <w:r>
        <w:rPr/>
        <w:t>Meeting?</w:t>
      </w:r>
    </w:p>
    <w:p>
      <w:pPr>
        <w:pStyle w:val="BodyText"/>
        <w:spacing w:line="252" w:lineRule="auto" w:before="111"/>
        <w:ind w:left="610" w:hanging="360"/>
      </w:pPr>
      <w:r>
        <w:rPr>
          <w:b/>
          <w:color w:val="F08A1F"/>
          <w:spacing w:val="-1"/>
          <w:sz w:val="22"/>
        </w:rPr>
        <w:t>A:</w:t>
      </w:r>
      <w:r>
        <w:rPr>
          <w:b/>
          <w:color w:val="F08A1F"/>
          <w:sz w:val="22"/>
        </w:rPr>
        <w:t> </w:t>
      </w:r>
      <w:r>
        <w:rPr>
          <w:spacing w:val="-1"/>
        </w:rPr>
        <w:t>Broadridge Financial Institutions </w:t>
      </w:r>
      <w:r>
        <w:rPr/>
        <w:t>("Broadridge") will host the virtual Annual Meeting.</w:t>
      </w:r>
      <w:r>
        <w:rPr>
          <w:spacing w:val="1"/>
        </w:rPr>
        <w:t> </w:t>
      </w:r>
      <w:r>
        <w:rPr/>
        <w:t>In order to attend the virtual</w:t>
      </w:r>
      <w:r>
        <w:rPr>
          <w:spacing w:val="-53"/>
        </w:rPr>
        <w:t> </w:t>
      </w:r>
      <w:r>
        <w:rPr>
          <w:spacing w:val="-1"/>
        </w:rPr>
        <w:t>Annual Meeting, vote during </w:t>
      </w:r>
      <w:r>
        <w:rPr/>
        <w:t>the Annual Meeting and submit questions, please log into the meeting platform at:</w:t>
      </w:r>
      <w:r>
        <w:rPr>
          <w:spacing w:val="1"/>
        </w:rPr>
        <w:t> </w:t>
      </w:r>
      <w:hyperlink r:id="rId6">
        <w:r>
          <w:rPr>
            <w:i/>
          </w:rPr>
          <w:t>www.virtualshareholdermeeting.com/ELS2022</w:t>
        </w:r>
        <w:r>
          <w:rPr>
            <w:i/>
            <w:spacing w:val="-2"/>
          </w:rPr>
          <w:t> </w:t>
        </w:r>
      </w:hyperlink>
      <w:r>
        <w:rPr/>
        <w:t>as</w:t>
      </w:r>
      <w:r>
        <w:rPr>
          <w:spacing w:val="-2"/>
        </w:rPr>
        <w:t> </w:t>
      </w:r>
      <w:r>
        <w:rPr/>
        <w:t>further</w:t>
      </w:r>
      <w:r>
        <w:rPr>
          <w:spacing w:val="-2"/>
        </w:rPr>
        <w:t> </w:t>
      </w:r>
      <w:r>
        <w:rPr/>
        <w:t>described</w:t>
      </w:r>
      <w:r>
        <w:rPr>
          <w:spacing w:val="-2"/>
        </w:rPr>
        <w:t> </w:t>
      </w:r>
      <w:r>
        <w:rPr/>
        <w:t>below.</w:t>
      </w:r>
    </w:p>
    <w:p>
      <w:pPr>
        <w:pStyle w:val="BodyText"/>
        <w:spacing w:line="249" w:lineRule="auto" w:before="100"/>
        <w:ind w:left="610" w:right="382"/>
      </w:pPr>
      <w:r>
        <w:rPr>
          <w:spacing w:val="-1"/>
        </w:rPr>
        <w:t>The virtual Annual Meeting will begin promptly at 9:00 a.m. Central Time on Tuesday, </w:t>
      </w:r>
      <w:r>
        <w:rPr/>
        <w:t>April 26, 2022, and online</w:t>
      </w:r>
      <w:r>
        <w:rPr>
          <w:spacing w:val="-53"/>
        </w:rPr>
        <w:t> </w:t>
      </w:r>
      <w:r>
        <w:rPr>
          <w:spacing w:val="-1"/>
        </w:rPr>
        <w:t>access will </w:t>
      </w:r>
      <w:r>
        <w:rPr/>
        <w:t>begin at 8:45 a.m. Central Time. We encourage you to access the virtual Annual Meeting prior to</w:t>
      </w:r>
      <w:r>
        <w:rPr>
          <w:spacing w:val="1"/>
        </w:rPr>
        <w:t> </w:t>
      </w:r>
      <w:r>
        <w:rPr/>
        <w:t>the start time. Broadridge will have technicians ready to assist you with any technical difficulties you may have</w:t>
      </w:r>
      <w:r>
        <w:rPr>
          <w:spacing w:val="1"/>
        </w:rPr>
        <w:t> </w:t>
      </w:r>
      <w:r>
        <w:rPr/>
        <w:t>accessing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virtual</w:t>
      </w:r>
      <w:r>
        <w:rPr>
          <w:spacing w:val="-12"/>
        </w:rPr>
        <w:t> </w:t>
      </w:r>
      <w:r>
        <w:rPr/>
        <w:t>Annual</w:t>
      </w:r>
      <w:r>
        <w:rPr>
          <w:spacing w:val="-1"/>
        </w:rPr>
        <w:t> </w:t>
      </w:r>
      <w:r>
        <w:rPr/>
        <w:t>Meeting.</w:t>
      </w:r>
    </w:p>
    <w:p>
      <w:pPr>
        <w:pStyle w:val="BodyText"/>
        <w:spacing w:before="3"/>
        <w:rPr>
          <w:sz w:val="17"/>
        </w:rPr>
      </w:pPr>
    </w:p>
    <w:p>
      <w:pPr>
        <w:pStyle w:val="Heading3"/>
        <w:spacing w:before="1"/>
      </w:pPr>
      <w:r>
        <w:rPr>
          <w:color w:val="00539E"/>
        </w:rPr>
        <w:t>Q:</w:t>
      </w:r>
      <w:r>
        <w:rPr>
          <w:color w:val="00539E"/>
          <w:spacing w:val="49"/>
        </w:rPr>
        <w:t> </w:t>
      </w:r>
      <w:r>
        <w:rPr/>
        <w:t>Vote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Needed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Approve</w:t>
      </w:r>
      <w:r>
        <w:rPr>
          <w:spacing w:val="-3"/>
        </w:rPr>
        <w:t> </w:t>
      </w:r>
      <w:r>
        <w:rPr/>
        <w:t>Each</w:t>
      </w:r>
      <w:r>
        <w:rPr>
          <w:spacing w:val="-3"/>
        </w:rPr>
        <w:t> </w:t>
      </w:r>
      <w:r>
        <w:rPr/>
        <w:t>Proposal?</w:t>
      </w:r>
    </w:p>
    <w:p>
      <w:pPr>
        <w:pStyle w:val="BodyText"/>
        <w:spacing w:line="254" w:lineRule="auto" w:before="111"/>
        <w:ind w:left="610" w:right="282" w:hanging="360"/>
      </w:pPr>
      <w:r>
        <w:rPr>
          <w:b/>
          <w:color w:val="F08A1F"/>
          <w:spacing w:val="-1"/>
          <w:sz w:val="22"/>
        </w:rPr>
        <w:t>A:</w:t>
      </w:r>
      <w:r>
        <w:rPr>
          <w:b/>
          <w:color w:val="F08A1F"/>
          <w:sz w:val="22"/>
        </w:rPr>
        <w:t> </w:t>
      </w:r>
      <w:r>
        <w:rPr>
          <w:spacing w:val="-1"/>
        </w:rPr>
        <w:t>Following </w:t>
      </w:r>
      <w:r>
        <w:rPr/>
        <w:t>are the votes needed to approve each Proposal at the Annual Meeting. For all Proposals a quorum</w:t>
      </w:r>
      <w:r>
        <w:rPr>
          <w:spacing w:val="1"/>
        </w:rPr>
        <w:t> </w:t>
      </w:r>
      <w:r>
        <w:rPr/>
        <w:t>must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2"/>
        </w:rPr>
        <w:t> </w:t>
      </w:r>
      <w:r>
        <w:rPr/>
        <w:t>Annual</w:t>
      </w:r>
      <w:r>
        <w:rPr>
          <w:spacing w:val="-1"/>
        </w:rPr>
        <w:t> </w:t>
      </w:r>
      <w:r>
        <w:rPr/>
        <w:t>Meeting.</w:t>
      </w:r>
    </w:p>
    <w:p>
      <w:pPr>
        <w:pStyle w:val="BodyText"/>
        <w:tabs>
          <w:tab w:pos="2409" w:val="left" w:leader="none"/>
        </w:tabs>
        <w:spacing w:line="249" w:lineRule="auto" w:before="96"/>
        <w:ind w:left="2410" w:right="1249" w:hanging="1440"/>
      </w:pPr>
      <w:r>
        <w:rPr/>
        <w:t>Proposal</w:t>
      </w:r>
      <w:r>
        <w:rPr>
          <w:spacing w:val="-3"/>
        </w:rPr>
        <w:t> </w:t>
      </w:r>
      <w:r>
        <w:rPr/>
        <w:t>1:</w:t>
        <w:tab/>
        <w:t>The</w:t>
      </w:r>
      <w:r>
        <w:rPr>
          <w:spacing w:val="-4"/>
        </w:rPr>
        <w:t> </w:t>
      </w:r>
      <w:r>
        <w:rPr/>
        <w:t>affirmative</w:t>
      </w:r>
      <w:r>
        <w:rPr>
          <w:spacing w:val="-4"/>
        </w:rPr>
        <w:t> </w:t>
      </w:r>
      <w:r>
        <w:rPr/>
        <w:t>vote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plurality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votes</w:t>
      </w:r>
      <w:r>
        <w:rPr>
          <w:spacing w:val="-3"/>
        </w:rPr>
        <w:t> </w:t>
      </w:r>
      <w:r>
        <w:rPr/>
        <w:t>cast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stockholders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record</w:t>
      </w:r>
      <w:r>
        <w:rPr>
          <w:spacing w:val="-4"/>
        </w:rPr>
        <w:t> </w:t>
      </w:r>
      <w:r>
        <w:rPr/>
        <w:t>is</w:t>
      </w:r>
      <w:r>
        <w:rPr>
          <w:spacing w:val="-52"/>
        </w:rPr>
        <w:t> </w:t>
      </w:r>
      <w:r>
        <w:rPr/>
        <w:t>necessary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elect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nominees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director.</w:t>
      </w:r>
    </w:p>
    <w:p>
      <w:pPr>
        <w:pStyle w:val="BodyText"/>
        <w:tabs>
          <w:tab w:pos="2409" w:val="left" w:leader="none"/>
        </w:tabs>
        <w:spacing w:line="249" w:lineRule="auto" w:before="102"/>
        <w:ind w:left="2410" w:right="366" w:hanging="1440"/>
      </w:pPr>
      <w:r>
        <w:rPr/>
        <w:t>Proposal</w:t>
      </w:r>
      <w:r>
        <w:rPr>
          <w:spacing w:val="-3"/>
        </w:rPr>
        <w:t> </w:t>
      </w:r>
      <w:r>
        <w:rPr/>
        <w:t>2:</w:t>
        <w:tab/>
        <w:t>The affirmative vote of a majority of all the votes cast by stockholders of record is required</w:t>
      </w:r>
      <w:r>
        <w:rPr>
          <w:spacing w:val="1"/>
        </w:rPr>
        <w:t> </w:t>
      </w:r>
      <w:r>
        <w:rPr>
          <w:spacing w:val="-1"/>
        </w:rPr>
        <w:t>to ratify the selection of Ernst &amp; Young </w:t>
      </w:r>
      <w:r>
        <w:rPr/>
        <w:t>as our Independent Accountants for the year ending</w:t>
      </w:r>
      <w:r>
        <w:rPr>
          <w:spacing w:val="-53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31,</w:t>
      </w:r>
      <w:r>
        <w:rPr>
          <w:spacing w:val="-1"/>
        </w:rPr>
        <w:t> </w:t>
      </w:r>
      <w:r>
        <w:rPr/>
        <w:t>2022.</w:t>
      </w:r>
    </w:p>
    <w:p>
      <w:pPr>
        <w:pStyle w:val="BodyText"/>
        <w:tabs>
          <w:tab w:pos="2409" w:val="left" w:leader="none"/>
        </w:tabs>
        <w:spacing w:line="249" w:lineRule="auto" w:before="102"/>
        <w:ind w:left="2410" w:right="449" w:hanging="1440"/>
      </w:pPr>
      <w:r>
        <w:rPr/>
        <w:t>Proposal</w:t>
      </w:r>
      <w:r>
        <w:rPr>
          <w:spacing w:val="-3"/>
        </w:rPr>
        <w:t> </w:t>
      </w:r>
      <w:r>
        <w:rPr/>
        <w:t>3:</w:t>
        <w:tab/>
        <w:t>The</w:t>
      </w:r>
      <w:r>
        <w:rPr>
          <w:spacing w:val="-4"/>
        </w:rPr>
        <w:t> </w:t>
      </w:r>
      <w:r>
        <w:rPr/>
        <w:t>affirmative</w:t>
      </w:r>
      <w:r>
        <w:rPr>
          <w:spacing w:val="-4"/>
        </w:rPr>
        <w:t> </w:t>
      </w:r>
      <w:r>
        <w:rPr/>
        <w:t>vote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majority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all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votes</w:t>
      </w:r>
      <w:r>
        <w:rPr>
          <w:spacing w:val="-3"/>
        </w:rPr>
        <w:t> </w:t>
      </w:r>
      <w:r>
        <w:rPr/>
        <w:t>cast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stockholders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record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required</w:t>
      </w:r>
      <w:r>
        <w:rPr>
          <w:spacing w:val="-52"/>
        </w:rPr>
        <w:t> </w:t>
      </w:r>
      <w:r>
        <w:rPr/>
        <w:t>to approve, on a non-binding, advisory basis, the executive compensation of our named</w:t>
      </w:r>
      <w:r>
        <w:rPr>
          <w:spacing w:val="1"/>
        </w:rPr>
        <w:t> </w:t>
      </w:r>
      <w:r>
        <w:rPr/>
        <w:t>executive</w:t>
      </w:r>
      <w:r>
        <w:rPr>
          <w:spacing w:val="-2"/>
        </w:rPr>
        <w:t> </w:t>
      </w:r>
      <w:r>
        <w:rPr/>
        <w:t>officers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disclosed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</w:t>
      </w:r>
      <w:r>
        <w:rPr>
          <w:spacing w:val="-2"/>
        </w:rPr>
        <w:t> </w:t>
      </w:r>
      <w:r>
        <w:rPr/>
        <w:t>Proxy</w:t>
      </w:r>
      <w:r>
        <w:rPr>
          <w:spacing w:val="-1"/>
        </w:rPr>
        <w:t> </w:t>
      </w:r>
      <w:r>
        <w:rPr/>
        <w:t>Statement.</w:t>
      </w:r>
    </w:p>
    <w:p>
      <w:pPr>
        <w:pStyle w:val="BodyText"/>
        <w:spacing w:line="249" w:lineRule="auto" w:before="103"/>
        <w:ind w:left="2410" w:right="402" w:hanging="1440"/>
      </w:pPr>
      <w:r>
        <w:rPr/>
        <w:t>Other Matters:</w:t>
      </w:r>
      <w:r>
        <w:rPr>
          <w:spacing w:val="1"/>
        </w:rPr>
        <w:t> </w:t>
      </w:r>
      <w:r>
        <w:rPr/>
        <w:t>The affirmative vote of a majority of all the votes cast by stockholders of record is required</w:t>
      </w:r>
      <w:r>
        <w:rPr>
          <w:spacing w:val="-53"/>
        </w:rPr>
        <w:t> </w:t>
      </w:r>
      <w:r>
        <w:rPr>
          <w:spacing w:val="-1"/>
        </w:rPr>
        <w:t>to approve </w:t>
      </w:r>
      <w:r>
        <w:rPr/>
        <w:t>any other matters properly presented at the Annual Meeting for stockholder</w:t>
      </w:r>
      <w:r>
        <w:rPr>
          <w:spacing w:val="1"/>
        </w:rPr>
        <w:t> </w:t>
      </w:r>
      <w:r>
        <w:rPr/>
        <w:t>approval.</w:t>
      </w:r>
    </w:p>
    <w:p>
      <w:pPr>
        <w:pStyle w:val="BodyText"/>
        <w:spacing w:before="6"/>
        <w:rPr>
          <w:sz w:val="17"/>
        </w:rPr>
      </w:pPr>
    </w:p>
    <w:p>
      <w:pPr>
        <w:pStyle w:val="BodyText"/>
        <w:spacing w:line="249" w:lineRule="auto" w:before="1"/>
        <w:ind w:left="610" w:right="347"/>
      </w:pPr>
      <w:r>
        <w:rPr/>
        <w:t>We will treat abstentions as shares of Common Stock that are present and entitled to vote for purposes of</w:t>
      </w:r>
      <w:r>
        <w:rPr>
          <w:spacing w:val="1"/>
        </w:rPr>
        <w:t> </w:t>
      </w:r>
      <w:r>
        <w:rPr/>
        <w:t>determining the presence or absence of a quorum. Abstentions do not constitute a vote "for" or "against" any</w:t>
      </w:r>
      <w:r>
        <w:rPr>
          <w:spacing w:val="1"/>
        </w:rPr>
        <w:t> </w:t>
      </w:r>
      <w:r>
        <w:rPr>
          <w:spacing w:val="-1"/>
        </w:rPr>
        <w:t>matter being voted on at </w:t>
      </w:r>
      <w:r>
        <w:rPr/>
        <w:t>the Annual Meeting and will not be counted as "votes cast." Therefore, abstentions will</w:t>
      </w:r>
      <w:r>
        <w:rPr>
          <w:spacing w:val="-53"/>
        </w:rPr>
        <w:t> </w:t>
      </w:r>
      <w:r>
        <w:rPr/>
        <w:t>have no effect on any of the Proposals, assuming a quorum is present.</w:t>
      </w:r>
      <w:r>
        <w:rPr>
          <w:spacing w:val="1"/>
        </w:rPr>
        <w:t> </w:t>
      </w:r>
      <w:r>
        <w:rPr/>
        <w:t>Broker "non-votes," or proxies from</w:t>
      </w:r>
      <w:r>
        <w:rPr>
          <w:spacing w:val="1"/>
        </w:rPr>
        <w:t> </w:t>
      </w:r>
      <w:r>
        <w:rPr/>
        <w:t>brokers or nominees indicating that such broker or nominee has not received instructions from the beneficial</w:t>
      </w:r>
      <w:r>
        <w:rPr>
          <w:spacing w:val="1"/>
        </w:rPr>
        <w:t> </w:t>
      </w:r>
      <w:r>
        <w:rPr/>
        <w:t>owner or other entity entitled to vote such shares of Common Stock on a particular matter with respect to which</w:t>
      </w:r>
      <w:r>
        <w:rPr>
          <w:spacing w:val="-53"/>
        </w:rPr>
        <w:t> </w:t>
      </w:r>
      <w:r>
        <w:rPr/>
        <w:t>such broker or nominee does not have discretionary voting power, will be treated in the same manner as</w:t>
      </w:r>
      <w:r>
        <w:rPr>
          <w:spacing w:val="1"/>
        </w:rPr>
        <w:t> </w:t>
      </w:r>
      <w:r>
        <w:rPr>
          <w:spacing w:val="-1"/>
        </w:rPr>
        <w:t>abstentions </w:t>
      </w:r>
      <w:r>
        <w:rPr/>
        <w:t>for purposes of the Annual Meeting. If you are a beneficial owner whose shares of Common Stock</w:t>
      </w:r>
      <w:r>
        <w:rPr>
          <w:spacing w:val="1"/>
        </w:rPr>
        <w:t> </w:t>
      </w:r>
      <w:r>
        <w:rPr/>
        <w:t>are held of record by a broker, your broker has discretionary voting authority under NYSE rules to vote your</w:t>
      </w:r>
      <w:r>
        <w:rPr>
          <w:spacing w:val="1"/>
        </w:rPr>
        <w:t> </w:t>
      </w:r>
      <w:r>
        <w:rPr/>
        <w:t>shares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Common</w:t>
      </w:r>
      <w:r>
        <w:rPr>
          <w:spacing w:val="-3"/>
        </w:rPr>
        <w:t> </w:t>
      </w:r>
      <w:r>
        <w:rPr/>
        <w:t>Stock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Proposal</w:t>
      </w:r>
      <w:r>
        <w:rPr>
          <w:spacing w:val="-3"/>
        </w:rPr>
        <w:t> </w:t>
      </w:r>
      <w:r>
        <w:rPr/>
        <w:t>No.</w:t>
      </w:r>
      <w:r>
        <w:rPr>
          <w:spacing w:val="-3"/>
        </w:rPr>
        <w:t> </w:t>
      </w:r>
      <w:r>
        <w:rPr/>
        <w:t>2</w:t>
      </w:r>
      <w:r>
        <w:rPr>
          <w:spacing w:val="-3"/>
        </w:rPr>
        <w:t> </w:t>
      </w:r>
      <w:r>
        <w:rPr/>
        <w:t>even</w:t>
      </w:r>
      <w:r>
        <w:rPr>
          <w:spacing w:val="-3"/>
        </w:rPr>
        <w:t> </w:t>
      </w:r>
      <w:r>
        <w:rPr/>
        <w:t>if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broker</w:t>
      </w:r>
      <w:r>
        <w:rPr>
          <w:spacing w:val="-4"/>
        </w:rPr>
        <w:t> </w:t>
      </w:r>
      <w:r>
        <w:rPr/>
        <w:t>does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receive</w:t>
      </w:r>
      <w:r>
        <w:rPr>
          <w:spacing w:val="-3"/>
        </w:rPr>
        <w:t> </w:t>
      </w:r>
      <w:r>
        <w:rPr/>
        <w:t>voting</w:t>
      </w:r>
      <w:r>
        <w:rPr>
          <w:spacing w:val="-3"/>
        </w:rPr>
        <w:t> </w:t>
      </w:r>
      <w:r>
        <w:rPr/>
        <w:t>instructions</w:t>
      </w:r>
      <w:r>
        <w:rPr>
          <w:spacing w:val="-3"/>
        </w:rPr>
        <w:t> </w:t>
      </w:r>
      <w:r>
        <w:rPr/>
        <w:t>from</w:t>
      </w:r>
      <w:r>
        <w:rPr>
          <w:spacing w:val="-3"/>
        </w:rPr>
        <w:t> </w:t>
      </w:r>
      <w:r>
        <w:rPr/>
        <w:t>you.</w:t>
      </w:r>
    </w:p>
    <w:p>
      <w:pPr>
        <w:pStyle w:val="BodyText"/>
        <w:spacing w:line="249" w:lineRule="auto" w:before="8"/>
        <w:ind w:left="610" w:right="295"/>
      </w:pPr>
      <w:r>
        <w:rPr/>
        <w:t>However,</w:t>
      </w:r>
      <w:r>
        <w:rPr>
          <w:spacing w:val="-5"/>
        </w:rPr>
        <w:t> </w:t>
      </w:r>
      <w:r>
        <w:rPr/>
        <w:t>under</w:t>
      </w:r>
      <w:r>
        <w:rPr>
          <w:spacing w:val="-4"/>
        </w:rPr>
        <w:t> </w:t>
      </w:r>
      <w:r>
        <w:rPr/>
        <w:t>NYSE</w:t>
      </w:r>
      <w:r>
        <w:rPr>
          <w:spacing w:val="-5"/>
        </w:rPr>
        <w:t> </w:t>
      </w:r>
      <w:r>
        <w:rPr/>
        <w:t>rules,</w:t>
      </w:r>
      <w:r>
        <w:rPr>
          <w:spacing w:val="-4"/>
        </w:rPr>
        <w:t> </w:t>
      </w:r>
      <w:r>
        <w:rPr/>
        <w:t>your</w:t>
      </w:r>
      <w:r>
        <w:rPr>
          <w:spacing w:val="-5"/>
        </w:rPr>
        <w:t> </w:t>
      </w:r>
      <w:r>
        <w:rPr/>
        <w:t>broker</w:t>
      </w:r>
      <w:r>
        <w:rPr>
          <w:spacing w:val="-4"/>
        </w:rPr>
        <w:t> </w:t>
      </w:r>
      <w:r>
        <w:rPr/>
        <w:t>does</w:t>
      </w:r>
      <w:r>
        <w:rPr>
          <w:spacing w:val="-5"/>
        </w:rPr>
        <w:t> </w:t>
      </w:r>
      <w:r>
        <w:rPr/>
        <w:t>not</w:t>
      </w:r>
      <w:r>
        <w:rPr>
          <w:spacing w:val="-4"/>
        </w:rPr>
        <w:t> </w:t>
      </w:r>
      <w:r>
        <w:rPr/>
        <w:t>have</w:t>
      </w:r>
      <w:r>
        <w:rPr>
          <w:spacing w:val="-5"/>
        </w:rPr>
        <w:t> </w:t>
      </w:r>
      <w:r>
        <w:rPr/>
        <w:t>discretionary</w:t>
      </w:r>
      <w:r>
        <w:rPr>
          <w:spacing w:val="-4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vote</w:t>
      </w:r>
      <w:r>
        <w:rPr>
          <w:spacing w:val="-5"/>
        </w:rPr>
        <w:t> </w:t>
      </w:r>
      <w:r>
        <w:rPr/>
        <w:t>on</w:t>
      </w:r>
      <w:r>
        <w:rPr>
          <w:spacing w:val="-4"/>
        </w:rPr>
        <w:t> </w:t>
      </w:r>
      <w:r>
        <w:rPr/>
        <w:t>Proposals</w:t>
      </w:r>
      <w:r>
        <w:rPr>
          <w:spacing w:val="-5"/>
        </w:rPr>
        <w:t> </w:t>
      </w:r>
      <w:r>
        <w:rPr/>
        <w:t>No.</w:t>
      </w:r>
      <w:r>
        <w:rPr>
          <w:spacing w:val="-4"/>
        </w:rPr>
        <w:t> </w:t>
      </w:r>
      <w:r>
        <w:rPr/>
        <w:t>1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3</w:t>
      </w:r>
      <w:r>
        <w:rPr>
          <w:spacing w:val="1"/>
        </w:rPr>
        <w:t> </w:t>
      </w:r>
      <w:r>
        <w:rPr/>
        <w:t>without instructions from you, in which case a broker "non-vote" will occur and your shares of Common Stock</w:t>
      </w:r>
      <w:r>
        <w:rPr>
          <w:spacing w:val="1"/>
        </w:rPr>
        <w:t> </w:t>
      </w:r>
      <w:r>
        <w:rPr/>
        <w:t>will not be voted on these matters.</w:t>
      </w:r>
      <w:r>
        <w:rPr>
          <w:spacing w:val="1"/>
        </w:rPr>
        <w:t> </w:t>
      </w:r>
      <w:r>
        <w:rPr/>
        <w:t>None of the Proposals, if approved, entitle any of the stockholders to</w:t>
      </w:r>
      <w:r>
        <w:rPr>
          <w:spacing w:val="1"/>
        </w:rPr>
        <w:t> </w:t>
      </w:r>
      <w:r>
        <w:rPr/>
        <w:t>appraisal</w:t>
      </w:r>
      <w:r>
        <w:rPr>
          <w:spacing w:val="-2"/>
        </w:rPr>
        <w:t> </w:t>
      </w:r>
      <w:r>
        <w:rPr/>
        <w:t>rights</w:t>
      </w:r>
      <w:r>
        <w:rPr>
          <w:spacing w:val="-1"/>
        </w:rPr>
        <w:t> </w:t>
      </w:r>
      <w:r>
        <w:rPr/>
        <w:t>under</w:t>
      </w:r>
      <w:r>
        <w:rPr>
          <w:spacing w:val="-1"/>
        </w:rPr>
        <w:t> </w:t>
      </w:r>
      <w:r>
        <w:rPr/>
        <w:t>Maryland</w:t>
      </w:r>
      <w:r>
        <w:rPr>
          <w:spacing w:val="-1"/>
        </w:rPr>
        <w:t> </w:t>
      </w:r>
      <w:r>
        <w:rPr/>
        <w:t>law.</w:t>
      </w:r>
    </w:p>
    <w:p>
      <w:pPr>
        <w:pStyle w:val="BodyText"/>
        <w:spacing w:before="3"/>
        <w:rPr>
          <w:sz w:val="17"/>
        </w:rPr>
      </w:pPr>
    </w:p>
    <w:p>
      <w:pPr>
        <w:pStyle w:val="Heading3"/>
      </w:pPr>
      <w:r>
        <w:rPr>
          <w:color w:val="00539E"/>
        </w:rPr>
        <w:t>Q:</w:t>
      </w:r>
      <w:r>
        <w:rPr>
          <w:color w:val="00539E"/>
          <w:spacing w:val="51"/>
        </w:rPr>
        <w:t> </w:t>
      </w:r>
      <w:r>
        <w:rPr/>
        <w:t>How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My</w:t>
      </w:r>
      <w:r>
        <w:rPr>
          <w:spacing w:val="-2"/>
        </w:rPr>
        <w:t> </w:t>
      </w:r>
      <w:r>
        <w:rPr/>
        <w:t>Vote</w:t>
      </w:r>
      <w:r>
        <w:rPr>
          <w:spacing w:val="-1"/>
        </w:rPr>
        <w:t> </w:t>
      </w:r>
      <w:r>
        <w:rPr/>
        <w:t>Counted?</w:t>
      </w:r>
    </w:p>
    <w:p>
      <w:pPr>
        <w:pStyle w:val="BodyText"/>
        <w:spacing w:line="252" w:lineRule="auto" w:before="96"/>
        <w:ind w:left="610" w:right="282" w:hanging="360"/>
      </w:pPr>
      <w:r>
        <w:rPr>
          <w:b/>
          <w:color w:val="F08A1F"/>
          <w:sz w:val="22"/>
        </w:rPr>
        <w:t>A:</w:t>
      </w:r>
      <w:r>
        <w:rPr>
          <w:b/>
          <w:color w:val="F08A1F"/>
          <w:spacing w:val="1"/>
          <w:sz w:val="22"/>
        </w:rPr>
        <w:t> </w:t>
      </w:r>
      <w:r>
        <w:rPr/>
        <w:t>If you properly execute a proxy by mail, telephone or over the Internet, and if we receive it prior to voting at the</w:t>
      </w:r>
      <w:r>
        <w:rPr>
          <w:spacing w:val="1"/>
        </w:rPr>
        <w:t> </w:t>
      </w:r>
      <w:r>
        <w:rPr/>
        <w:t>Annual</w:t>
      </w:r>
      <w:r>
        <w:rPr>
          <w:spacing w:val="-4"/>
        </w:rPr>
        <w:t> </w:t>
      </w:r>
      <w:r>
        <w:rPr/>
        <w:t>Meeting,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shares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Stock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proxy</w:t>
      </w:r>
      <w:r>
        <w:rPr>
          <w:spacing w:val="-4"/>
        </w:rPr>
        <w:t> </w:t>
      </w:r>
      <w:r>
        <w:rPr/>
        <w:t>represents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voted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manner</w:t>
      </w:r>
      <w:r>
        <w:rPr>
          <w:spacing w:val="-4"/>
        </w:rPr>
        <w:t> </w:t>
      </w:r>
      <w:r>
        <w:rPr/>
        <w:t>specified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proxy. If no specification is made, the shares of Common Stock will be voted </w:t>
      </w:r>
      <w:r>
        <w:rPr>
          <w:b/>
        </w:rPr>
        <w:t>"for" all nominees </w:t>
      </w:r>
      <w:r>
        <w:rPr/>
        <w:t>named in</w:t>
      </w:r>
      <w:r>
        <w:rPr>
          <w:spacing w:val="1"/>
        </w:rPr>
        <w:t> </w:t>
      </w:r>
      <w:r>
        <w:rPr/>
        <w:t>this Proxy Statement for election as director, </w:t>
      </w:r>
      <w:r>
        <w:rPr>
          <w:b/>
        </w:rPr>
        <w:t>"for" </w:t>
      </w:r>
      <w:r>
        <w:rPr/>
        <w:t>ratification of the selection of Ernst &amp; Young as our</w:t>
      </w:r>
      <w:r>
        <w:rPr>
          <w:spacing w:val="1"/>
        </w:rPr>
        <w:t> </w:t>
      </w:r>
      <w:r>
        <w:rPr/>
        <w:t>Independent Accountants for the year ending December 31, 2022, and </w:t>
      </w:r>
      <w:r>
        <w:rPr>
          <w:b/>
        </w:rPr>
        <w:t>"for" </w:t>
      </w:r>
      <w:r>
        <w:rPr/>
        <w:t>approval on a non-binding,</w:t>
      </w:r>
      <w:r>
        <w:rPr>
          <w:spacing w:val="1"/>
        </w:rPr>
        <w:t> </w:t>
      </w:r>
      <w:r>
        <w:rPr/>
        <w:t>advisory basis of the executive compensation disclosed in this Proxy Statement. It is not anticipated that any</w:t>
      </w:r>
      <w:r>
        <w:rPr>
          <w:spacing w:val="1"/>
        </w:rPr>
        <w:t> </w:t>
      </w:r>
      <w:r>
        <w:rPr/>
        <w:t>matters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those</w:t>
      </w:r>
      <w:r>
        <w:rPr>
          <w:spacing w:val="-3"/>
        </w:rPr>
        <w:t> </w:t>
      </w:r>
      <w:r>
        <w:rPr/>
        <w:t>set</w:t>
      </w:r>
      <w:r>
        <w:rPr>
          <w:spacing w:val="-3"/>
        </w:rPr>
        <w:t> </w:t>
      </w:r>
      <w:r>
        <w:rPr/>
        <w:t>forth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Proxy</w:t>
      </w:r>
      <w:r>
        <w:rPr>
          <w:spacing w:val="-4"/>
        </w:rPr>
        <w:t> </w:t>
      </w:r>
      <w:r>
        <w:rPr/>
        <w:t>Statement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presented</w:t>
      </w:r>
      <w:r>
        <w:rPr>
          <w:spacing w:val="-3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14"/>
        </w:rPr>
        <w:t> </w:t>
      </w:r>
      <w:r>
        <w:rPr/>
        <w:t>Annual</w:t>
      </w:r>
      <w:r>
        <w:rPr>
          <w:spacing w:val="-3"/>
        </w:rPr>
        <w:t> </w:t>
      </w:r>
      <w:r>
        <w:rPr/>
        <w:t>Meeting.</w:t>
      </w:r>
      <w:r>
        <w:rPr>
          <w:spacing w:val="50"/>
        </w:rPr>
        <w:t> </w:t>
      </w:r>
      <w:r>
        <w:rPr/>
        <w:t>If</w:t>
      </w:r>
      <w:r>
        <w:rPr>
          <w:spacing w:val="-3"/>
        </w:rPr>
        <w:t> </w:t>
      </w:r>
      <w:r>
        <w:rPr/>
        <w:t>other</w:t>
      </w:r>
    </w:p>
    <w:p>
      <w:pPr>
        <w:spacing w:after="0" w:line="252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610" w:right="282"/>
      </w:pPr>
      <w:r>
        <w:rPr/>
        <w:t>matters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presented,</w:t>
      </w:r>
      <w:r>
        <w:rPr>
          <w:spacing w:val="-4"/>
        </w:rPr>
        <w:t> </w:t>
      </w:r>
      <w:r>
        <w:rPr/>
        <w:t>proxies</w:t>
      </w:r>
      <w:r>
        <w:rPr>
          <w:spacing w:val="-4"/>
        </w:rPr>
        <w:t> </w:t>
      </w:r>
      <w:r>
        <w:rPr/>
        <w:t>will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voted</w:t>
      </w:r>
      <w:r>
        <w:rPr>
          <w:spacing w:val="-3"/>
        </w:rPr>
        <w:t> </w:t>
      </w:r>
      <w:r>
        <w:rPr/>
        <w:t>as</w:t>
      </w:r>
      <w:r>
        <w:rPr>
          <w:spacing w:val="-4"/>
        </w:rPr>
        <w:t> </w:t>
      </w:r>
      <w:r>
        <w:rPr/>
        <w:t>recommended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Board,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if</w:t>
      </w:r>
      <w:r>
        <w:rPr>
          <w:spacing w:val="-3"/>
        </w:rPr>
        <w:t> </w:t>
      </w:r>
      <w:r>
        <w:rPr/>
        <w:t>there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recommendation,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the discretion of the proxy holders.</w:t>
      </w:r>
      <w:r>
        <w:rPr>
          <w:spacing w:val="1"/>
        </w:rPr>
        <w:t> </w:t>
      </w:r>
      <w:r>
        <w:rPr/>
        <w:t>No valid stockholder proposals or nominations were received on a timely</w:t>
      </w:r>
      <w:r>
        <w:rPr>
          <w:spacing w:val="1"/>
        </w:rPr>
        <w:t> </w:t>
      </w:r>
      <w:r>
        <w:rPr/>
        <w:t>basis,</w:t>
      </w:r>
      <w:r>
        <w:rPr>
          <w:spacing w:val="-2"/>
        </w:rPr>
        <w:t> </w:t>
      </w:r>
      <w:r>
        <w:rPr/>
        <w:t>so</w:t>
      </w:r>
      <w:r>
        <w:rPr>
          <w:spacing w:val="-1"/>
        </w:rPr>
        <w:t> </w:t>
      </w:r>
      <w:r>
        <w:rPr/>
        <w:t>no</w:t>
      </w:r>
      <w:r>
        <w:rPr>
          <w:spacing w:val="-2"/>
        </w:rPr>
        <w:t> </w:t>
      </w:r>
      <w:r>
        <w:rPr/>
        <w:t>such</w:t>
      </w:r>
      <w:r>
        <w:rPr>
          <w:spacing w:val="-1"/>
        </w:rPr>
        <w:t> </w:t>
      </w:r>
      <w:r>
        <w:rPr/>
        <w:t>matters</w:t>
      </w:r>
      <w:r>
        <w:rPr>
          <w:spacing w:val="-2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brought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vote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the</w:t>
      </w:r>
      <w:r>
        <w:rPr>
          <w:spacing w:val="-12"/>
        </w:rPr>
        <w:t> </w:t>
      </w:r>
      <w:r>
        <w:rPr/>
        <w:t>Annual</w:t>
      </w:r>
      <w:r>
        <w:rPr>
          <w:spacing w:val="-2"/>
        </w:rPr>
        <w:t> </w:t>
      </w:r>
      <w:r>
        <w:rPr/>
        <w:t>Meeting.</w:t>
      </w:r>
    </w:p>
    <w:p>
      <w:pPr>
        <w:pStyle w:val="Heading3"/>
        <w:spacing w:before="98"/>
      </w:pPr>
      <w:r>
        <w:rPr>
          <w:color w:val="00539E"/>
        </w:rPr>
        <w:t>Q:</w:t>
      </w:r>
      <w:r>
        <w:rPr>
          <w:color w:val="00539E"/>
          <w:spacing w:val="51"/>
        </w:rPr>
        <w:t> </w:t>
      </w:r>
      <w:r>
        <w:rPr/>
        <w:t>Who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Soliciting</w:t>
      </w:r>
      <w:r>
        <w:rPr>
          <w:spacing w:val="-2"/>
        </w:rPr>
        <w:t> </w:t>
      </w:r>
      <w:r>
        <w:rPr/>
        <w:t>My</w:t>
      </w:r>
      <w:r>
        <w:rPr>
          <w:spacing w:val="-1"/>
        </w:rPr>
        <w:t> </w:t>
      </w:r>
      <w:r>
        <w:rPr/>
        <w:t>Proxy?</w:t>
      </w:r>
    </w:p>
    <w:p>
      <w:pPr>
        <w:pStyle w:val="BodyText"/>
        <w:spacing w:line="252" w:lineRule="auto" w:before="111"/>
        <w:ind w:left="610" w:right="282" w:hanging="360"/>
      </w:pPr>
      <w:r>
        <w:rPr>
          <w:b/>
          <w:color w:val="F08A1F"/>
          <w:sz w:val="22"/>
        </w:rPr>
        <w:t>A:</w:t>
      </w:r>
      <w:r>
        <w:rPr>
          <w:b/>
          <w:color w:val="F08A1F"/>
          <w:spacing w:val="1"/>
          <w:sz w:val="22"/>
        </w:rPr>
        <w:t> </w:t>
      </w:r>
      <w:r>
        <w:rPr/>
        <w:t>This solicitation of proxies is made by and on behalf of the Board. We will pay the cost of solicitation of the</w:t>
      </w:r>
      <w:r>
        <w:rPr>
          <w:spacing w:val="1"/>
        </w:rPr>
        <w:t> </w:t>
      </w:r>
      <w:r>
        <w:rPr/>
        <w:t>proxies. We have retained MacKenzie Partners, Inc. to assist, at a </w:t>
      </w:r>
      <w:r>
        <w:rPr>
          <w:i/>
        </w:rPr>
        <w:t>de minimis </w:t>
      </w:r>
      <w:r>
        <w:rPr/>
        <w:t>cost, in the solicitation of proxies.</w:t>
      </w:r>
      <w:r>
        <w:rPr>
          <w:spacing w:val="-53"/>
        </w:rPr>
        <w:t> </w:t>
      </w:r>
      <w:r>
        <w:rPr/>
        <w:t>In addition to the solicitation of proxies by mail, our Directors, officers and employees may solicit proxies</w:t>
      </w:r>
      <w:r>
        <w:rPr>
          <w:spacing w:val="1"/>
        </w:rPr>
        <w:t> </w:t>
      </w:r>
      <w:r>
        <w:rPr/>
        <w:t>personally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telephone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>
          <w:i/>
        </w:rPr>
        <w:t>de</w:t>
      </w:r>
      <w:r>
        <w:rPr>
          <w:i/>
          <w:spacing w:val="-1"/>
        </w:rPr>
        <w:t> </w:t>
      </w:r>
      <w:r>
        <w:rPr>
          <w:i/>
        </w:rPr>
        <w:t>minimis</w:t>
      </w:r>
      <w:r>
        <w:rPr>
          <w:i/>
          <w:spacing w:val="-1"/>
        </w:rPr>
        <w:t> </w:t>
      </w:r>
      <w:r>
        <w:rPr/>
        <w:t>cost.</w:t>
      </w:r>
    </w:p>
    <w:p>
      <w:pPr>
        <w:pStyle w:val="BodyText"/>
        <w:spacing w:line="249" w:lineRule="auto" w:before="98"/>
        <w:ind w:left="610" w:right="282"/>
      </w:pPr>
      <w:r>
        <w:rPr/>
        <w:t>No</w:t>
      </w:r>
      <w:r>
        <w:rPr>
          <w:spacing w:val="-4"/>
        </w:rPr>
        <w:t> </w:t>
      </w:r>
      <w:r>
        <w:rPr/>
        <w:t>person</w:t>
      </w:r>
      <w:r>
        <w:rPr>
          <w:spacing w:val="-4"/>
        </w:rPr>
        <w:t> </w:t>
      </w:r>
      <w:r>
        <w:rPr/>
        <w:t>is</w:t>
      </w:r>
      <w:r>
        <w:rPr>
          <w:spacing w:val="-4"/>
        </w:rPr>
        <w:t> </w:t>
      </w:r>
      <w:r>
        <w:rPr/>
        <w:t>authorized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our</w:t>
      </w:r>
      <w:r>
        <w:rPr>
          <w:spacing w:val="-4"/>
        </w:rPr>
        <w:t> </w:t>
      </w:r>
      <w:r>
        <w:rPr/>
        <w:t>behalf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give</w:t>
      </w:r>
      <w:r>
        <w:rPr>
          <w:spacing w:val="-4"/>
        </w:rPr>
        <w:t> </w:t>
      </w:r>
      <w:r>
        <w:rPr/>
        <w:t>any</w:t>
      </w:r>
      <w:r>
        <w:rPr>
          <w:spacing w:val="-4"/>
        </w:rPr>
        <w:t> </w:t>
      </w:r>
      <w:r>
        <w:rPr/>
        <w:t>information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make</w:t>
      </w:r>
      <w:r>
        <w:rPr>
          <w:spacing w:val="-3"/>
        </w:rPr>
        <w:t> </w:t>
      </w:r>
      <w:r>
        <w:rPr/>
        <w:t>any</w:t>
      </w:r>
      <w:r>
        <w:rPr>
          <w:spacing w:val="-4"/>
        </w:rPr>
        <w:t> </w:t>
      </w:r>
      <w:r>
        <w:rPr/>
        <w:t>representations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respect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Proposals other than the information and representations contained in this Proxy Statement, and, if given or</w:t>
      </w:r>
      <w:r>
        <w:rPr>
          <w:spacing w:val="1"/>
        </w:rPr>
        <w:t> </w:t>
      </w:r>
      <w:r>
        <w:rPr/>
        <w:t>made, such information and/or representations must not be relied upon as having been authorized, and the</w:t>
      </w:r>
      <w:r>
        <w:rPr>
          <w:spacing w:val="1"/>
        </w:rPr>
        <w:t> </w:t>
      </w:r>
      <w:r>
        <w:rPr/>
        <w:t>delivery of this Proxy Statement shall not, under any circumstances, create any implication that there has been</w:t>
      </w:r>
      <w:r>
        <w:rPr>
          <w:spacing w:val="1"/>
        </w:rPr>
        <w:t> </w:t>
      </w:r>
      <w:r>
        <w:rPr/>
        <w:t>no</w:t>
      </w:r>
      <w:r>
        <w:rPr>
          <w:spacing w:val="-2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affairs</w:t>
      </w:r>
      <w:r>
        <w:rPr>
          <w:spacing w:val="-2"/>
        </w:rPr>
        <w:t> </w:t>
      </w:r>
      <w:r>
        <w:rPr/>
        <w:t>since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date</w:t>
      </w:r>
      <w:r>
        <w:rPr>
          <w:spacing w:val="-1"/>
        </w:rPr>
        <w:t> </w:t>
      </w:r>
      <w:r>
        <w:rPr/>
        <w:t>hereof.</w:t>
      </w:r>
    </w:p>
    <w:p>
      <w:pPr>
        <w:pStyle w:val="Heading1"/>
        <w:spacing w:before="196"/>
      </w:pPr>
      <w:bookmarkStart w:name="Additional Information" w:id="84"/>
      <w:bookmarkEnd w:id="84"/>
      <w:r>
        <w:rPr>
          <w:b w:val="0"/>
        </w:rPr>
      </w:r>
      <w:bookmarkStart w:name="_bookmark38" w:id="85"/>
      <w:bookmarkEnd w:id="85"/>
      <w:r>
        <w:rPr>
          <w:b w:val="0"/>
        </w:rPr>
      </w:r>
      <w:r>
        <w:rPr>
          <w:color w:val="00539E"/>
        </w:rPr>
        <w:t>ADDITIONAL</w:t>
      </w:r>
      <w:r>
        <w:rPr>
          <w:color w:val="00539E"/>
          <w:spacing w:val="-8"/>
        </w:rPr>
        <w:t> </w:t>
      </w:r>
      <w:r>
        <w:rPr>
          <w:color w:val="00539E"/>
        </w:rPr>
        <w:t>INFORMATION</w:t>
      </w:r>
    </w:p>
    <w:p>
      <w:pPr>
        <w:pStyle w:val="Heading2"/>
        <w:spacing w:before="212"/>
      </w:pPr>
      <w:bookmarkStart w:name="Certain Relationships and Related Transa" w:id="86"/>
      <w:bookmarkEnd w:id="86"/>
      <w:r>
        <w:rPr>
          <w:b w:val="0"/>
        </w:rPr>
      </w:r>
      <w:bookmarkStart w:name="_bookmark39" w:id="87"/>
      <w:bookmarkEnd w:id="87"/>
      <w:r>
        <w:rPr>
          <w:b w:val="0"/>
        </w:rPr>
      </w:r>
      <w:r>
        <w:rPr>
          <w:color w:val="00539E"/>
        </w:rPr>
        <w:t>Certain</w:t>
      </w:r>
      <w:r>
        <w:rPr>
          <w:color w:val="00539E"/>
          <w:spacing w:val="-5"/>
        </w:rPr>
        <w:t> </w:t>
      </w:r>
      <w:r>
        <w:rPr>
          <w:color w:val="00539E"/>
        </w:rPr>
        <w:t>Relationships</w:t>
      </w:r>
      <w:r>
        <w:rPr>
          <w:color w:val="00539E"/>
          <w:spacing w:val="-4"/>
        </w:rPr>
        <w:t> </w:t>
      </w:r>
      <w:r>
        <w:rPr>
          <w:color w:val="00539E"/>
        </w:rPr>
        <w:t>and</w:t>
      </w:r>
      <w:r>
        <w:rPr>
          <w:color w:val="00539E"/>
          <w:spacing w:val="-5"/>
        </w:rPr>
        <w:t> </w:t>
      </w:r>
      <w:r>
        <w:rPr>
          <w:color w:val="00539E"/>
        </w:rPr>
        <w:t>Related</w:t>
      </w:r>
      <w:r>
        <w:rPr>
          <w:color w:val="00539E"/>
          <w:spacing w:val="-4"/>
        </w:rPr>
        <w:t> </w:t>
      </w:r>
      <w:r>
        <w:rPr>
          <w:color w:val="00539E"/>
        </w:rPr>
        <w:t>Transactions</w:t>
      </w:r>
    </w:p>
    <w:p>
      <w:pPr>
        <w:pStyle w:val="BodyText"/>
        <w:spacing w:line="249" w:lineRule="auto" w:before="220"/>
        <w:ind w:left="250" w:right="380"/>
      </w:pPr>
      <w:r>
        <w:rPr>
          <w:spacing w:val="-1"/>
        </w:rPr>
        <w:t>The Audit Committee is responsible for reviewing and approving </w:t>
      </w:r>
      <w:r>
        <w:rPr/>
        <w:t>all material transactions with any related party.</w:t>
      </w:r>
      <w:r>
        <w:rPr>
          <w:spacing w:val="1"/>
        </w:rPr>
        <w:t> </w:t>
      </w:r>
      <w:r>
        <w:rPr/>
        <w:t>Related parties include any of our Directors or Executive Officers and their immediate family members. Our policy</w:t>
      </w:r>
      <w:r>
        <w:rPr>
          <w:spacing w:val="1"/>
        </w:rPr>
        <w:t> </w:t>
      </w:r>
      <w:r>
        <w:rPr/>
        <w:t>regarding related party transactions is outlined in our Business Ethics and Conduct Policy, a copy of which can be</w:t>
      </w:r>
      <w:r>
        <w:rPr>
          <w:spacing w:val="1"/>
        </w:rPr>
        <w:t> </w:t>
      </w:r>
      <w:r>
        <w:rPr/>
        <w:t>found on the Company’s website.</w:t>
      </w:r>
      <w:r>
        <w:rPr>
          <w:spacing w:val="1"/>
        </w:rPr>
        <w:t> </w:t>
      </w:r>
      <w:r>
        <w:rPr/>
        <w:t>Our Business Ethics and Conduct Policy requires all Directors, officers and</w:t>
      </w:r>
      <w:r>
        <w:rPr>
          <w:spacing w:val="1"/>
        </w:rPr>
        <w:t> </w:t>
      </w:r>
      <w:r>
        <w:rPr/>
        <w:t>employees</w:t>
      </w:r>
      <w:r>
        <w:rPr>
          <w:spacing w:val="-5"/>
        </w:rPr>
        <w:t> </w:t>
      </w:r>
      <w:r>
        <w:rPr/>
        <w:t>who</w:t>
      </w:r>
      <w:r>
        <w:rPr>
          <w:spacing w:val="-5"/>
        </w:rPr>
        <w:t> </w:t>
      </w:r>
      <w:r>
        <w:rPr/>
        <w:t>may</w:t>
      </w:r>
      <w:r>
        <w:rPr>
          <w:spacing w:val="-5"/>
        </w:rPr>
        <w:t> </w:t>
      </w:r>
      <w:r>
        <w:rPr/>
        <w:t>have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potential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apparent</w:t>
      </w:r>
      <w:r>
        <w:rPr>
          <w:spacing w:val="-5"/>
        </w:rPr>
        <w:t> </w:t>
      </w:r>
      <w:r>
        <w:rPr/>
        <w:t>conflict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interest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immediately</w:t>
      </w:r>
      <w:r>
        <w:rPr>
          <w:spacing w:val="-5"/>
        </w:rPr>
        <w:t> </w:t>
      </w:r>
      <w:r>
        <w:rPr/>
        <w:t>notify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Company’s</w:t>
      </w:r>
      <w:r>
        <w:rPr>
          <w:spacing w:val="-5"/>
        </w:rPr>
        <w:t> </w:t>
      </w:r>
      <w:r>
        <w:rPr/>
        <w:t>Executive</w:t>
      </w:r>
      <w:r>
        <w:rPr>
          <w:spacing w:val="1"/>
        </w:rPr>
        <w:t> </w:t>
      </w:r>
      <w:r>
        <w:rPr/>
        <w:t>Vice President, Chief Legal Officer and Corporate Secretary. Further, to identify related party transactions, we</w:t>
      </w:r>
      <w:r>
        <w:rPr>
          <w:spacing w:val="1"/>
        </w:rPr>
        <w:t> </w:t>
      </w:r>
      <w:r>
        <w:rPr/>
        <w:t>submit and require our Directors and Executive Officers to complete Director and Officer Questionnaires identifying</w:t>
      </w:r>
      <w:r>
        <w:rPr>
          <w:spacing w:val="-53"/>
        </w:rPr>
        <w:t> </w:t>
      </w:r>
      <w:r>
        <w:rPr/>
        <w:t>any</w:t>
      </w:r>
      <w:r>
        <w:rPr>
          <w:spacing w:val="-4"/>
        </w:rPr>
        <w:t> </w:t>
      </w:r>
      <w:r>
        <w:rPr/>
        <w:t>transactions</w:t>
      </w:r>
      <w:r>
        <w:rPr>
          <w:spacing w:val="-3"/>
        </w:rPr>
        <w:t> </w:t>
      </w:r>
      <w:r>
        <w:rPr/>
        <w:t>with</w:t>
      </w:r>
      <w:r>
        <w:rPr>
          <w:spacing w:val="-4"/>
        </w:rPr>
        <w:t> </w:t>
      </w:r>
      <w:r>
        <w:rPr/>
        <w:t>us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Director,</w:t>
      </w:r>
      <w:r>
        <w:rPr>
          <w:spacing w:val="-3"/>
        </w:rPr>
        <w:t> </w:t>
      </w:r>
      <w:r>
        <w:rPr/>
        <w:t>Executive</w:t>
      </w:r>
      <w:r>
        <w:rPr>
          <w:spacing w:val="-4"/>
        </w:rPr>
        <w:t> </w:t>
      </w:r>
      <w:r>
        <w:rPr/>
        <w:t>Officer,</w:t>
      </w:r>
      <w:r>
        <w:rPr>
          <w:spacing w:val="-3"/>
        </w:rPr>
        <w:t> </w:t>
      </w:r>
      <w:r>
        <w:rPr/>
        <w:t>or</w:t>
      </w:r>
      <w:r>
        <w:rPr>
          <w:spacing w:val="-4"/>
        </w:rPr>
        <w:t> </w:t>
      </w:r>
      <w:r>
        <w:rPr/>
        <w:t>their</w:t>
      </w:r>
      <w:r>
        <w:rPr>
          <w:spacing w:val="-3"/>
        </w:rPr>
        <w:t> </w:t>
      </w:r>
      <w:r>
        <w:rPr/>
        <w:t>family</w:t>
      </w:r>
      <w:r>
        <w:rPr>
          <w:spacing w:val="-4"/>
        </w:rPr>
        <w:t> </w:t>
      </w:r>
      <w:r>
        <w:rPr/>
        <w:t>members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an</w:t>
      </w:r>
      <w:r>
        <w:rPr>
          <w:spacing w:val="-3"/>
        </w:rPr>
        <w:t> </w:t>
      </w:r>
      <w:r>
        <w:rPr/>
        <w:t>interest.</w:t>
      </w:r>
    </w:p>
    <w:p>
      <w:pPr>
        <w:pStyle w:val="BodyText"/>
        <w:rPr>
          <w:sz w:val="18"/>
        </w:rPr>
      </w:pPr>
    </w:p>
    <w:p>
      <w:pPr>
        <w:pStyle w:val="BodyText"/>
        <w:ind w:left="250"/>
      </w:pPr>
      <w:r>
        <w:rPr/>
        <w:t>We</w:t>
      </w:r>
      <w:r>
        <w:rPr>
          <w:spacing w:val="-7"/>
        </w:rPr>
        <w:t> </w:t>
      </w:r>
      <w:r>
        <w:rPr/>
        <w:t>lease</w:t>
      </w:r>
      <w:r>
        <w:rPr>
          <w:spacing w:val="-7"/>
        </w:rPr>
        <w:t> </w:t>
      </w:r>
      <w:r>
        <w:rPr/>
        <w:t>office</w:t>
      </w:r>
      <w:r>
        <w:rPr>
          <w:spacing w:val="-6"/>
        </w:rPr>
        <w:t> </w:t>
      </w:r>
      <w:r>
        <w:rPr/>
        <w:t>space</w:t>
      </w:r>
      <w:r>
        <w:rPr>
          <w:spacing w:val="-7"/>
        </w:rPr>
        <w:t> </w:t>
      </w:r>
      <w:r>
        <w:rPr/>
        <w:t>from</w:t>
      </w:r>
      <w:r>
        <w:rPr>
          <w:spacing w:val="-9"/>
        </w:rPr>
        <w:t> </w:t>
      </w:r>
      <w:r>
        <w:rPr/>
        <w:t>Two</w:t>
      </w:r>
      <w:r>
        <w:rPr>
          <w:spacing w:val="-6"/>
        </w:rPr>
        <w:t> </w:t>
      </w:r>
      <w:r>
        <w:rPr/>
        <w:t>North</w:t>
      </w:r>
      <w:r>
        <w:rPr>
          <w:spacing w:val="-7"/>
        </w:rPr>
        <w:t> </w:t>
      </w:r>
      <w:r>
        <w:rPr/>
        <w:t>Riverside</w:t>
      </w:r>
      <w:r>
        <w:rPr>
          <w:spacing w:val="-6"/>
        </w:rPr>
        <w:t> </w:t>
      </w:r>
      <w:r>
        <w:rPr/>
        <w:t>Plaza</w:t>
      </w:r>
      <w:r>
        <w:rPr>
          <w:spacing w:val="-7"/>
        </w:rPr>
        <w:t> </w:t>
      </w:r>
      <w:r>
        <w:rPr/>
        <w:t>Joint</w:t>
      </w:r>
      <w:r>
        <w:rPr>
          <w:spacing w:val="-7"/>
        </w:rPr>
        <w:t> </w:t>
      </w:r>
      <w:r>
        <w:rPr/>
        <w:t>Venture</w:t>
      </w:r>
      <w:r>
        <w:rPr>
          <w:spacing w:val="-6"/>
        </w:rPr>
        <w:t> </w:t>
      </w:r>
      <w:r>
        <w:rPr/>
        <w:t>Limited</w:t>
      </w:r>
      <w:r>
        <w:rPr>
          <w:spacing w:val="-7"/>
        </w:rPr>
        <w:t> </w:t>
      </w:r>
      <w:r>
        <w:rPr/>
        <w:t>Partnership,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entity</w:t>
      </w:r>
      <w:r>
        <w:rPr>
          <w:spacing w:val="-6"/>
        </w:rPr>
        <w:t> </w:t>
      </w:r>
      <w:r>
        <w:rPr/>
        <w:t>affiliated</w:t>
      </w:r>
      <w:r>
        <w:rPr>
          <w:spacing w:val="-7"/>
        </w:rPr>
        <w:t> </w:t>
      </w:r>
      <w:r>
        <w:rPr/>
        <w:t>with</w:t>
      </w:r>
    </w:p>
    <w:p>
      <w:pPr>
        <w:pStyle w:val="BodyText"/>
        <w:spacing w:line="249" w:lineRule="auto" w:before="10"/>
        <w:ind w:left="250" w:right="282"/>
      </w:pPr>
      <w:r>
        <w:rPr/>
        <w:t>Mr.</w:t>
      </w:r>
      <w:r>
        <w:rPr>
          <w:spacing w:val="-5"/>
        </w:rPr>
        <w:t> </w:t>
      </w:r>
      <w:r>
        <w:rPr/>
        <w:t>Zell,</w:t>
      </w:r>
      <w:r>
        <w:rPr>
          <w:spacing w:val="-5"/>
        </w:rPr>
        <w:t> </w:t>
      </w:r>
      <w:r>
        <w:rPr/>
        <w:t>Chairman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our</w:t>
      </w:r>
      <w:r>
        <w:rPr>
          <w:spacing w:val="-5"/>
        </w:rPr>
        <w:t> </w:t>
      </w:r>
      <w:r>
        <w:rPr/>
        <w:t>Board.</w:t>
      </w:r>
      <w:r>
        <w:rPr>
          <w:spacing w:val="-4"/>
        </w:rPr>
        <w:t> </w:t>
      </w:r>
      <w:r>
        <w:rPr/>
        <w:t>Payments</w:t>
      </w:r>
      <w:r>
        <w:rPr>
          <w:spacing w:val="-5"/>
        </w:rPr>
        <w:t> </w:t>
      </w:r>
      <w:r>
        <w:rPr/>
        <w:t>made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accordance</w:t>
      </w:r>
      <w:r>
        <w:rPr>
          <w:spacing w:val="-5"/>
        </w:rPr>
        <w:t> </w:t>
      </w:r>
      <w:r>
        <w:rPr/>
        <w:t>with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lease</w:t>
      </w:r>
      <w:r>
        <w:rPr>
          <w:spacing w:val="-5"/>
        </w:rPr>
        <w:t> </w:t>
      </w:r>
      <w:r>
        <w:rPr/>
        <w:t>agreement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this</w:t>
      </w:r>
      <w:r>
        <w:rPr>
          <w:spacing w:val="-4"/>
        </w:rPr>
        <w:t> </w:t>
      </w:r>
      <w:r>
        <w:rPr/>
        <w:t>entity</w:t>
      </w:r>
      <w:r>
        <w:rPr>
          <w:spacing w:val="-5"/>
        </w:rPr>
        <w:t> </w:t>
      </w:r>
      <w:r>
        <w:rPr/>
        <w:t>amounted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approximately $1.7 million for the year ended December 31, 2021, $1.6 million for the year ended December 31,</w:t>
      </w:r>
      <w:r>
        <w:rPr>
          <w:spacing w:val="1"/>
        </w:rPr>
        <w:t> </w:t>
      </w:r>
      <w:r>
        <w:rPr/>
        <w:t>2020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$1.7</w:t>
      </w:r>
      <w:r>
        <w:rPr>
          <w:spacing w:val="-2"/>
        </w:rPr>
        <w:t> </w:t>
      </w:r>
      <w:r>
        <w:rPr/>
        <w:t>million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year</w:t>
      </w:r>
      <w:r>
        <w:rPr>
          <w:spacing w:val="-1"/>
        </w:rPr>
        <w:t> </w:t>
      </w:r>
      <w:r>
        <w:rPr/>
        <w:t>ended</w:t>
      </w:r>
      <w:r>
        <w:rPr>
          <w:spacing w:val="-1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31,</w:t>
      </w:r>
      <w:r>
        <w:rPr>
          <w:spacing w:val="-1"/>
        </w:rPr>
        <w:t> </w:t>
      </w:r>
      <w:r>
        <w:rPr/>
        <w:t>2019.</w:t>
      </w:r>
    </w:p>
    <w:p>
      <w:pPr>
        <w:pStyle w:val="Heading2"/>
        <w:spacing w:before="194"/>
      </w:pPr>
      <w:bookmarkStart w:name="Delinquent Section 16(a) Reports" w:id="88"/>
      <w:bookmarkEnd w:id="88"/>
      <w:r>
        <w:rPr>
          <w:b w:val="0"/>
        </w:rPr>
      </w:r>
      <w:bookmarkStart w:name="_bookmark40" w:id="89"/>
      <w:bookmarkEnd w:id="89"/>
      <w:r>
        <w:rPr>
          <w:b w:val="0"/>
        </w:rPr>
      </w:r>
      <w:r>
        <w:rPr>
          <w:color w:val="00539E"/>
        </w:rPr>
        <w:t>Delinquent</w:t>
      </w:r>
      <w:r>
        <w:rPr>
          <w:color w:val="00539E"/>
          <w:spacing w:val="-4"/>
        </w:rPr>
        <w:t> </w:t>
      </w:r>
      <w:r>
        <w:rPr>
          <w:color w:val="00539E"/>
        </w:rPr>
        <w:t>Section</w:t>
      </w:r>
      <w:r>
        <w:rPr>
          <w:color w:val="00539E"/>
          <w:spacing w:val="-4"/>
        </w:rPr>
        <w:t> </w:t>
      </w:r>
      <w:r>
        <w:rPr>
          <w:color w:val="00539E"/>
        </w:rPr>
        <w:t>16(a)</w:t>
      </w:r>
      <w:r>
        <w:rPr>
          <w:color w:val="00539E"/>
          <w:spacing w:val="-3"/>
        </w:rPr>
        <w:t> </w:t>
      </w:r>
      <w:r>
        <w:rPr>
          <w:color w:val="00539E"/>
        </w:rPr>
        <w:t>Reports</w:t>
      </w:r>
    </w:p>
    <w:p>
      <w:pPr>
        <w:pStyle w:val="BodyText"/>
        <w:spacing w:line="249" w:lineRule="auto" w:before="220"/>
        <w:ind w:left="250" w:right="282"/>
      </w:pPr>
      <w:r>
        <w:rPr>
          <w:spacing w:val="-1"/>
        </w:rPr>
        <w:t>Section 16(a) of the Exchange Act ("Section 16(a)") requires </w:t>
      </w:r>
      <w:r>
        <w:rPr/>
        <w:t>the Company’s Executive Officers and Directors, and</w:t>
      </w:r>
      <w:r>
        <w:rPr>
          <w:spacing w:val="1"/>
        </w:rPr>
        <w:t> </w:t>
      </w:r>
      <w:r>
        <w:rPr/>
        <w:t>persons</w:t>
      </w:r>
      <w:r>
        <w:rPr>
          <w:spacing w:val="-4"/>
        </w:rPr>
        <w:t> </w:t>
      </w:r>
      <w:r>
        <w:rPr/>
        <w:t>who</w:t>
      </w:r>
      <w:r>
        <w:rPr>
          <w:spacing w:val="-4"/>
        </w:rPr>
        <w:t> </w:t>
      </w:r>
      <w:r>
        <w:rPr/>
        <w:t>own</w:t>
      </w:r>
      <w:r>
        <w:rPr>
          <w:spacing w:val="-4"/>
        </w:rPr>
        <w:t> </w:t>
      </w:r>
      <w:r>
        <w:rPr/>
        <w:t>more</w:t>
      </w:r>
      <w:r>
        <w:rPr>
          <w:spacing w:val="-3"/>
        </w:rPr>
        <w:t> </w:t>
      </w:r>
      <w:r>
        <w:rPr/>
        <w:t>than</w:t>
      </w:r>
      <w:r>
        <w:rPr>
          <w:spacing w:val="-4"/>
        </w:rPr>
        <w:t> </w:t>
      </w:r>
      <w:r>
        <w:rPr/>
        <w:t>10%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Common</w:t>
      </w:r>
      <w:r>
        <w:rPr>
          <w:spacing w:val="-4"/>
        </w:rPr>
        <w:t> </w:t>
      </w:r>
      <w:r>
        <w:rPr/>
        <w:t>Stock,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file</w:t>
      </w:r>
      <w:r>
        <w:rPr>
          <w:spacing w:val="-4"/>
        </w:rPr>
        <w:t> </w:t>
      </w:r>
      <w:r>
        <w:rPr/>
        <w:t>reports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changes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ownership</w:t>
      </w:r>
      <w:r>
        <w:rPr>
          <w:spacing w:val="-4"/>
        </w:rPr>
        <w:t> </w:t>
      </w:r>
      <w:r>
        <w:rPr/>
        <w:t>with</w:t>
      </w:r>
      <w:r>
        <w:rPr>
          <w:spacing w:val="1"/>
        </w:rPr>
        <w:t> </w:t>
      </w:r>
      <w:r>
        <w:rPr/>
        <w:t>the SEC and the NYSE.</w:t>
      </w:r>
      <w:r>
        <w:rPr>
          <w:spacing w:val="1"/>
        </w:rPr>
        <w:t> </w:t>
      </w:r>
      <w:r>
        <w:rPr/>
        <w:t>Executive officers, Directors and greater than 10% stockholders are required by SEC</w:t>
      </w:r>
      <w:r>
        <w:rPr>
          <w:spacing w:val="1"/>
        </w:rPr>
        <w:t> </w:t>
      </w:r>
      <w:r>
        <w:rPr/>
        <w:t>regulations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furnish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Company</w:t>
      </w:r>
      <w:r>
        <w:rPr>
          <w:spacing w:val="-2"/>
        </w:rPr>
        <w:t> </w:t>
      </w:r>
      <w:r>
        <w:rPr/>
        <w:t>with</w:t>
      </w:r>
      <w:r>
        <w:rPr>
          <w:spacing w:val="-2"/>
        </w:rPr>
        <w:t> </w:t>
      </w:r>
      <w:r>
        <w:rPr/>
        <w:t>copies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all</w:t>
      </w:r>
      <w:r>
        <w:rPr>
          <w:spacing w:val="-2"/>
        </w:rPr>
        <w:t> </w:t>
      </w:r>
      <w:r>
        <w:rPr/>
        <w:t>Section</w:t>
      </w:r>
      <w:r>
        <w:rPr>
          <w:spacing w:val="-1"/>
        </w:rPr>
        <w:t> </w:t>
      </w:r>
      <w:r>
        <w:rPr/>
        <w:t>16(a)</w:t>
      </w:r>
      <w:r>
        <w:rPr>
          <w:spacing w:val="-2"/>
        </w:rPr>
        <w:t> </w:t>
      </w:r>
      <w:r>
        <w:rPr/>
        <w:t>forms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file.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/>
        <w:ind w:left="250" w:right="282"/>
      </w:pPr>
      <w:r>
        <w:rPr/>
        <w:t>Based solely on the Company’s review of the copies of those forms received by the Company, or written</w:t>
      </w:r>
      <w:r>
        <w:rPr>
          <w:spacing w:val="1"/>
        </w:rPr>
        <w:t> </w:t>
      </w:r>
      <w:r>
        <w:rPr/>
        <w:t>representations</w:t>
      </w:r>
      <w:r>
        <w:rPr>
          <w:spacing w:val="-5"/>
        </w:rPr>
        <w:t> </w:t>
      </w:r>
      <w:r>
        <w:rPr/>
        <w:t>from</w:t>
      </w:r>
      <w:r>
        <w:rPr>
          <w:spacing w:val="-4"/>
        </w:rPr>
        <w:t> </w:t>
      </w:r>
      <w:r>
        <w:rPr/>
        <w:t>Executive</w:t>
      </w:r>
      <w:r>
        <w:rPr>
          <w:spacing w:val="-4"/>
        </w:rPr>
        <w:t> </w:t>
      </w:r>
      <w:r>
        <w:rPr/>
        <w:t>Officers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Directors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no</w:t>
      </w:r>
      <w:r>
        <w:rPr>
          <w:spacing w:val="-4"/>
        </w:rPr>
        <w:t> </w:t>
      </w:r>
      <w:r>
        <w:rPr/>
        <w:t>Forms</w:t>
      </w:r>
      <w:r>
        <w:rPr>
          <w:spacing w:val="-4"/>
        </w:rPr>
        <w:t> </w:t>
      </w:r>
      <w:r>
        <w:rPr/>
        <w:t>5</w:t>
      </w:r>
      <w:r>
        <w:rPr>
          <w:spacing w:val="-4"/>
        </w:rPr>
        <w:t> </w:t>
      </w:r>
      <w:r>
        <w:rPr/>
        <w:t>were</w:t>
      </w:r>
      <w:r>
        <w:rPr>
          <w:spacing w:val="-4"/>
        </w:rPr>
        <w:t> </w:t>
      </w:r>
      <w:r>
        <w:rPr/>
        <w:t>required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be</w:t>
      </w:r>
      <w:r>
        <w:rPr>
          <w:spacing w:val="-4"/>
        </w:rPr>
        <w:t> </w:t>
      </w:r>
      <w:r>
        <w:rPr/>
        <w:t>filed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fiscal</w:t>
      </w:r>
      <w:r>
        <w:rPr>
          <w:spacing w:val="-4"/>
        </w:rPr>
        <w:t> </w:t>
      </w:r>
      <w:r>
        <w:rPr/>
        <w:t>year</w:t>
      </w:r>
      <w:r>
        <w:rPr>
          <w:spacing w:val="1"/>
        </w:rPr>
        <w:t> </w:t>
      </w:r>
      <w:r>
        <w:rPr/>
        <w:t>ended</w:t>
      </w:r>
      <w:r>
        <w:rPr>
          <w:spacing w:val="-3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31,</w:t>
      </w:r>
      <w:r>
        <w:rPr>
          <w:spacing w:val="-2"/>
        </w:rPr>
        <w:t> </w:t>
      </w:r>
      <w:r>
        <w:rPr/>
        <w:t>2021,</w:t>
      </w:r>
      <w:r>
        <w:rPr>
          <w:spacing w:val="-3"/>
        </w:rPr>
        <w:t> </w:t>
      </w:r>
      <w:r>
        <w:rPr/>
        <w:t>all</w:t>
      </w:r>
      <w:r>
        <w:rPr>
          <w:spacing w:val="-2"/>
        </w:rPr>
        <w:t> </w:t>
      </w:r>
      <w:r>
        <w:rPr/>
        <w:t>appropriate</w:t>
      </w:r>
      <w:r>
        <w:rPr>
          <w:spacing w:val="-2"/>
        </w:rPr>
        <w:t> </w:t>
      </w:r>
      <w:r>
        <w:rPr/>
        <w:t>Section</w:t>
      </w:r>
      <w:r>
        <w:rPr>
          <w:spacing w:val="-2"/>
        </w:rPr>
        <w:t> </w:t>
      </w:r>
      <w:r>
        <w:rPr/>
        <w:t>16(a)</w:t>
      </w:r>
      <w:r>
        <w:rPr>
          <w:spacing w:val="-3"/>
        </w:rPr>
        <w:t> </w:t>
      </w:r>
      <w:r>
        <w:rPr/>
        <w:t>forms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filed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timely</w:t>
      </w:r>
      <w:r>
        <w:rPr>
          <w:spacing w:val="-2"/>
        </w:rPr>
        <w:t> </w:t>
      </w:r>
      <w:r>
        <w:rPr/>
        <w:t>manner.</w:t>
      </w:r>
    </w:p>
    <w:p>
      <w:pPr>
        <w:pStyle w:val="Heading2"/>
        <w:spacing w:before="194"/>
      </w:pPr>
      <w:bookmarkStart w:name="Stockholder Proposals for the 2023 Annua" w:id="90"/>
      <w:bookmarkEnd w:id="90"/>
      <w:r>
        <w:rPr>
          <w:b w:val="0"/>
        </w:rPr>
      </w:r>
      <w:bookmarkStart w:name="_bookmark41" w:id="91"/>
      <w:bookmarkEnd w:id="91"/>
      <w:r>
        <w:rPr>
          <w:b w:val="0"/>
        </w:rPr>
      </w:r>
      <w:r>
        <w:rPr>
          <w:color w:val="00539E"/>
        </w:rPr>
        <w:t>Stockholder</w:t>
      </w:r>
      <w:r>
        <w:rPr>
          <w:color w:val="00539E"/>
          <w:spacing w:val="-3"/>
        </w:rPr>
        <w:t> </w:t>
      </w:r>
      <w:r>
        <w:rPr>
          <w:color w:val="00539E"/>
        </w:rPr>
        <w:t>Proposals</w:t>
      </w:r>
      <w:r>
        <w:rPr>
          <w:color w:val="00539E"/>
          <w:spacing w:val="-2"/>
        </w:rPr>
        <w:t> </w:t>
      </w:r>
      <w:r>
        <w:rPr>
          <w:color w:val="00539E"/>
        </w:rPr>
        <w:t>for</w:t>
      </w:r>
      <w:r>
        <w:rPr>
          <w:color w:val="00539E"/>
          <w:spacing w:val="-2"/>
        </w:rPr>
        <w:t> </w:t>
      </w:r>
      <w:r>
        <w:rPr>
          <w:color w:val="00539E"/>
        </w:rPr>
        <w:t>the</w:t>
      </w:r>
      <w:r>
        <w:rPr>
          <w:color w:val="00539E"/>
          <w:spacing w:val="-2"/>
        </w:rPr>
        <w:t> </w:t>
      </w:r>
      <w:r>
        <w:rPr>
          <w:color w:val="00539E"/>
        </w:rPr>
        <w:t>2023</w:t>
      </w:r>
      <w:r>
        <w:rPr>
          <w:color w:val="00539E"/>
          <w:spacing w:val="-2"/>
        </w:rPr>
        <w:t> </w:t>
      </w:r>
      <w:r>
        <w:rPr>
          <w:color w:val="00539E"/>
        </w:rPr>
        <w:t>Annual</w:t>
      </w:r>
      <w:r>
        <w:rPr>
          <w:color w:val="00539E"/>
          <w:spacing w:val="-2"/>
        </w:rPr>
        <w:t> </w:t>
      </w:r>
      <w:r>
        <w:rPr>
          <w:color w:val="00539E"/>
        </w:rPr>
        <w:t>Meeting</w:t>
      </w:r>
    </w:p>
    <w:p>
      <w:pPr>
        <w:pStyle w:val="BodyText"/>
        <w:spacing w:line="249" w:lineRule="auto" w:before="221"/>
        <w:ind w:left="250" w:right="376"/>
      </w:pPr>
      <w:r>
        <w:rPr/>
        <w:t>Stockholder proposals intended to be presented at the 2023 annual meeting of stockholders must be received by</w:t>
      </w:r>
      <w:r>
        <w:rPr>
          <w:spacing w:val="1"/>
        </w:rPr>
        <w:t> </w:t>
      </w:r>
      <w:r>
        <w:rPr/>
        <w:t>our</w:t>
      </w:r>
      <w:r>
        <w:rPr>
          <w:spacing w:val="-5"/>
        </w:rPr>
        <w:t> </w:t>
      </w:r>
      <w:r>
        <w:rPr/>
        <w:t>Corporate</w:t>
      </w:r>
      <w:r>
        <w:rPr>
          <w:spacing w:val="-4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later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November</w:t>
      </w:r>
      <w:r>
        <w:rPr>
          <w:spacing w:val="-5"/>
        </w:rPr>
        <w:t> </w:t>
      </w:r>
      <w:r>
        <w:rPr/>
        <w:t>17,</w:t>
      </w:r>
      <w:r>
        <w:rPr>
          <w:spacing w:val="-4"/>
        </w:rPr>
        <w:t> </w:t>
      </w:r>
      <w:r>
        <w:rPr/>
        <w:t>2022,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order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considered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inclusion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Company's</w:t>
      </w:r>
      <w:r>
        <w:rPr>
          <w:spacing w:val="1"/>
        </w:rPr>
        <w:t> </w:t>
      </w:r>
      <w:r>
        <w:rPr/>
        <w:t>Proxy Statement and on the proxy card that will be solicited by the Board in connection with the 2023 annual</w:t>
      </w:r>
      <w:r>
        <w:rPr>
          <w:spacing w:val="1"/>
        </w:rPr>
        <w:t> </w:t>
      </w:r>
      <w:r>
        <w:rPr/>
        <w:t>meeting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stockholders.</w:t>
      </w:r>
    </w:p>
    <w:p>
      <w:pPr>
        <w:pStyle w:val="BodyText"/>
        <w:spacing w:before="7"/>
        <w:rPr>
          <w:sz w:val="17"/>
        </w:rPr>
      </w:pPr>
    </w:p>
    <w:p>
      <w:pPr>
        <w:pStyle w:val="BodyText"/>
        <w:spacing w:line="249" w:lineRule="auto"/>
        <w:ind w:left="250" w:right="297"/>
      </w:pPr>
      <w:r>
        <w:rPr/>
        <w:t>In addition, if a stockholder desires to bring business before an annual meeting of stockholders, which is not the</w:t>
      </w:r>
      <w:r>
        <w:rPr>
          <w:spacing w:val="1"/>
        </w:rPr>
        <w:t> </w:t>
      </w:r>
      <w:r>
        <w:rPr/>
        <w:t>subject of a proposal for inclusion in the Company's proxy materials, the stockholder must follow the advance notice</w:t>
      </w:r>
      <w:r>
        <w:rPr>
          <w:spacing w:val="-54"/>
        </w:rPr>
        <w:t> </w:t>
      </w:r>
      <w:r>
        <w:rPr/>
        <w:t>procedures outlined in the Company's Bylaws.</w:t>
      </w:r>
      <w:r>
        <w:rPr>
          <w:spacing w:val="55"/>
        </w:rPr>
        <w:t> </w:t>
      </w:r>
      <w:r>
        <w:rPr/>
        <w:t>The Company's current Bylaws provide that in order for a</w:t>
      </w:r>
      <w:r>
        <w:rPr>
          <w:spacing w:val="1"/>
        </w:rPr>
        <w:t> </w:t>
      </w:r>
      <w:r>
        <w:rPr/>
        <w:t>stockholder to nominate a candidate for election as a Director at an annual meeting of stockholders or propose</w:t>
      </w:r>
      <w:r>
        <w:rPr>
          <w:spacing w:val="1"/>
        </w:rPr>
        <w:t> </w:t>
      </w:r>
      <w:r>
        <w:rPr/>
        <w:t>business for consideration at such annual meeting of stockholders, notice must generally be given to our Corporate</w:t>
      </w:r>
      <w:r>
        <w:rPr>
          <w:spacing w:val="1"/>
        </w:rPr>
        <w:t> </w:t>
      </w:r>
      <w:r>
        <w:rPr/>
        <w:t>Secretary no more than 90 days nor less than 60 days prior to the first anniversary of the preceding year's annual</w:t>
      </w:r>
      <w:r>
        <w:rPr>
          <w:spacing w:val="1"/>
        </w:rPr>
        <w:t> </w:t>
      </w:r>
      <w:r>
        <w:rPr/>
        <w:t>meeting of stockholders.</w:t>
      </w:r>
      <w:r>
        <w:rPr>
          <w:spacing w:val="1"/>
        </w:rPr>
        <w:t> </w:t>
      </w:r>
      <w:r>
        <w:rPr/>
        <w:t>The 2022 Annual Meeting is scheduled for April 26, 2022.</w:t>
      </w:r>
      <w:r>
        <w:rPr>
          <w:spacing w:val="1"/>
        </w:rPr>
        <w:t> </w:t>
      </w:r>
      <w:r>
        <w:rPr/>
        <w:t>Therefore, if a stockholder</w:t>
      </w:r>
      <w:r>
        <w:rPr>
          <w:spacing w:val="1"/>
        </w:rPr>
        <w:t> </w:t>
      </w:r>
      <w:r>
        <w:rPr/>
        <w:t>desires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present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proposal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2023</w:t>
      </w:r>
      <w:r>
        <w:rPr>
          <w:spacing w:val="-4"/>
        </w:rPr>
        <w:t> </w:t>
      </w:r>
      <w:r>
        <w:rPr/>
        <w:t>annual</w:t>
      </w:r>
      <w:r>
        <w:rPr>
          <w:spacing w:val="-5"/>
        </w:rPr>
        <w:t> </w:t>
      </w:r>
      <w:r>
        <w:rPr/>
        <w:t>meeting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stockholders</w:t>
      </w:r>
      <w:r>
        <w:rPr>
          <w:spacing w:val="-4"/>
        </w:rPr>
        <w:t> </w:t>
      </w:r>
      <w:r>
        <w:rPr/>
        <w:t>without</w:t>
      </w:r>
      <w:r>
        <w:rPr>
          <w:spacing w:val="-5"/>
        </w:rPr>
        <w:t> </w:t>
      </w:r>
      <w:r>
        <w:rPr/>
        <w:t>seeking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include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proposal</w:t>
      </w:r>
      <w:r>
        <w:rPr>
          <w:spacing w:val="-4"/>
        </w:rPr>
        <w:t> </w:t>
      </w:r>
      <w:r>
        <w:rPr/>
        <w:t>in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250" w:right="376"/>
      </w:pPr>
      <w:r>
        <w:rPr/>
        <w:t>the</w:t>
      </w:r>
      <w:r>
        <w:rPr>
          <w:spacing w:val="-5"/>
        </w:rPr>
        <w:t> </w:t>
      </w:r>
      <w:r>
        <w:rPr/>
        <w:t>Company's</w:t>
      </w:r>
      <w:r>
        <w:rPr>
          <w:spacing w:val="-4"/>
        </w:rPr>
        <w:t> </w:t>
      </w:r>
      <w:r>
        <w:rPr/>
        <w:t>proxy</w:t>
      </w:r>
      <w:r>
        <w:rPr>
          <w:spacing w:val="-4"/>
        </w:rPr>
        <w:t> </w:t>
      </w:r>
      <w:r>
        <w:rPr/>
        <w:t>materials,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Company</w:t>
      </w:r>
      <w:r>
        <w:rPr>
          <w:spacing w:val="-4"/>
        </w:rPr>
        <w:t> </w:t>
      </w:r>
      <w:r>
        <w:rPr/>
        <w:t>must</w:t>
      </w:r>
      <w:r>
        <w:rPr>
          <w:spacing w:val="-4"/>
        </w:rPr>
        <w:t> </w:t>
      </w:r>
      <w:r>
        <w:rPr/>
        <w:t>receive</w:t>
      </w:r>
      <w:r>
        <w:rPr>
          <w:spacing w:val="-4"/>
        </w:rPr>
        <w:t> </w:t>
      </w:r>
      <w:r>
        <w:rPr/>
        <w:t>notice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proposal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earlier</w:t>
      </w:r>
      <w:r>
        <w:rPr>
          <w:spacing w:val="-4"/>
        </w:rPr>
        <w:t> </w:t>
      </w:r>
      <w:r>
        <w:rPr/>
        <w:t>than</w:t>
      </w:r>
      <w:r>
        <w:rPr>
          <w:spacing w:val="-4"/>
        </w:rPr>
        <w:t> </w:t>
      </w:r>
      <w:r>
        <w:rPr/>
        <w:t>January</w:t>
      </w:r>
      <w:r>
        <w:rPr>
          <w:spacing w:val="-4"/>
        </w:rPr>
        <w:t> </w:t>
      </w:r>
      <w:r>
        <w:rPr/>
        <w:t>26,</w:t>
      </w:r>
      <w:r>
        <w:rPr>
          <w:spacing w:val="-4"/>
        </w:rPr>
        <w:t> </w:t>
      </w:r>
      <w:r>
        <w:rPr/>
        <w:t>2023</w:t>
      </w:r>
      <w:r>
        <w:rPr>
          <w:spacing w:val="1"/>
        </w:rPr>
        <w:t> </w:t>
      </w:r>
      <w:r>
        <w:rPr/>
        <w:t>and no later than February 25, 2023. Copies of the Bylaws may be obtained from our Corporate Secretary by</w:t>
      </w:r>
      <w:r>
        <w:rPr>
          <w:spacing w:val="1"/>
        </w:rPr>
        <w:t> </w:t>
      </w:r>
      <w:r>
        <w:rPr/>
        <w:t>written</w:t>
      </w:r>
      <w:r>
        <w:rPr>
          <w:spacing w:val="-2"/>
        </w:rPr>
        <w:t> </w:t>
      </w:r>
      <w:r>
        <w:rPr/>
        <w:t>request.</w:t>
      </w:r>
    </w:p>
    <w:p>
      <w:pPr>
        <w:pStyle w:val="Heading2"/>
        <w:spacing w:before="194"/>
      </w:pPr>
      <w:bookmarkStart w:name="2021 Annual Report" w:id="92"/>
      <w:bookmarkEnd w:id="92"/>
      <w:r>
        <w:rPr>
          <w:b w:val="0"/>
        </w:rPr>
      </w:r>
      <w:bookmarkStart w:name="_bookmark42" w:id="93"/>
      <w:bookmarkEnd w:id="93"/>
      <w:r>
        <w:rPr>
          <w:b w:val="0"/>
        </w:rPr>
      </w:r>
      <w:r>
        <w:rPr>
          <w:color w:val="00539E"/>
        </w:rPr>
        <w:t>2021</w:t>
      </w:r>
      <w:r>
        <w:rPr>
          <w:color w:val="00539E"/>
          <w:spacing w:val="-5"/>
        </w:rPr>
        <w:t> </w:t>
      </w:r>
      <w:r>
        <w:rPr>
          <w:color w:val="00539E"/>
        </w:rPr>
        <w:t>Annual</w:t>
      </w:r>
      <w:r>
        <w:rPr>
          <w:color w:val="00539E"/>
          <w:spacing w:val="-4"/>
        </w:rPr>
        <w:t> </w:t>
      </w:r>
      <w:r>
        <w:rPr>
          <w:color w:val="00539E"/>
        </w:rPr>
        <w:t>Report</w:t>
      </w:r>
    </w:p>
    <w:p>
      <w:pPr>
        <w:pStyle w:val="BodyText"/>
        <w:spacing w:line="249" w:lineRule="auto" w:before="220"/>
        <w:ind w:left="250" w:right="349"/>
      </w:pPr>
      <w:r>
        <w:rPr/>
        <w:t>Stockholders are concurrently being furnished with a copy of the Company's 2021 Annual Report and Annual</w:t>
      </w:r>
      <w:r>
        <w:rPr>
          <w:spacing w:val="1"/>
        </w:rPr>
        <w:t> </w:t>
      </w:r>
      <w:r>
        <w:rPr/>
        <w:t>Report on Form 10-K. Additional copies of the 2021 Annual Report and Annual Report on Form 10-K and of this</w:t>
      </w:r>
      <w:r>
        <w:rPr>
          <w:spacing w:val="1"/>
        </w:rPr>
        <w:t> </w:t>
      </w:r>
      <w:r>
        <w:rPr/>
        <w:t>Proxy Statement are available at </w:t>
      </w:r>
      <w:r>
        <w:rPr>
          <w:i/>
        </w:rPr>
        <w:t>https://materials.proxyvote.com/29472R </w:t>
      </w:r>
      <w:r>
        <w:rPr/>
        <w:t>or by contacting Equity LifeStyle</w:t>
      </w:r>
      <w:r>
        <w:rPr>
          <w:spacing w:val="1"/>
        </w:rPr>
        <w:t> </w:t>
      </w:r>
      <w:r>
        <w:rPr>
          <w:spacing w:val="-1"/>
        </w:rPr>
        <w:t>Properties, Inc, Attn: Investor Relations, at Two North Riverside Plaza, </w:t>
      </w:r>
      <w:r>
        <w:rPr/>
        <w:t>Suite 800, Chicago, Illinois 60606 (toll-free</w:t>
      </w:r>
      <w:r>
        <w:rPr>
          <w:spacing w:val="1"/>
        </w:rPr>
        <w:t> </w:t>
      </w:r>
      <w:r>
        <w:rPr/>
        <w:t>number:</w:t>
      </w:r>
      <w:r>
        <w:rPr>
          <w:spacing w:val="-6"/>
        </w:rPr>
        <w:t> </w:t>
      </w:r>
      <w:r>
        <w:rPr/>
        <w:t>1-800-247-5279</w:t>
      </w:r>
      <w:r>
        <w:rPr>
          <w:spacing w:val="-6"/>
        </w:rPr>
        <w:t> </w:t>
      </w:r>
      <w:r>
        <w:rPr/>
        <w:t>or</w:t>
      </w:r>
      <w:r>
        <w:rPr>
          <w:spacing w:val="-6"/>
        </w:rPr>
        <w:t> </w:t>
      </w:r>
      <w:r>
        <w:rPr/>
        <w:t>email:</w:t>
      </w:r>
      <w:r>
        <w:rPr>
          <w:spacing w:val="45"/>
        </w:rPr>
        <w:t> </w:t>
      </w:r>
      <w:r>
        <w:rPr/>
        <w:t>investor_relations@equitylifestyle.com).</w:t>
      </w:r>
      <w:r>
        <w:rPr>
          <w:spacing w:val="45"/>
        </w:rPr>
        <w:t> </w:t>
      </w:r>
      <w:r>
        <w:rPr/>
        <w:t>Copies</w:t>
      </w:r>
      <w:r>
        <w:rPr>
          <w:spacing w:val="-6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furnished</w:t>
      </w:r>
      <w:r>
        <w:rPr>
          <w:spacing w:val="-6"/>
        </w:rPr>
        <w:t> </w:t>
      </w:r>
      <w:r>
        <w:rPr/>
        <w:t>promptly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/>
        <w:t>no</w:t>
      </w:r>
      <w:r>
        <w:rPr>
          <w:spacing w:val="1"/>
        </w:rPr>
        <w:t> </w:t>
      </w:r>
      <w:r>
        <w:rPr/>
        <w:t>additional</w:t>
      </w:r>
      <w:r>
        <w:rPr>
          <w:spacing w:val="-2"/>
        </w:rPr>
        <w:t> </w:t>
      </w:r>
      <w:r>
        <w:rPr/>
        <w:t>expense.</w:t>
      </w:r>
    </w:p>
    <w:p>
      <w:pPr>
        <w:pStyle w:val="Heading2"/>
        <w:spacing w:before="197"/>
      </w:pPr>
      <w:bookmarkStart w:name="Householding of Proxy Materials" w:id="94"/>
      <w:bookmarkEnd w:id="94"/>
      <w:r>
        <w:rPr>
          <w:b w:val="0"/>
        </w:rPr>
      </w:r>
      <w:bookmarkStart w:name="_bookmark43" w:id="95"/>
      <w:bookmarkEnd w:id="95"/>
      <w:r>
        <w:rPr>
          <w:b w:val="0"/>
        </w:rPr>
      </w:r>
      <w:r>
        <w:rPr>
          <w:color w:val="00539E"/>
        </w:rPr>
        <w:t>Householding</w:t>
      </w:r>
      <w:r>
        <w:rPr>
          <w:color w:val="00539E"/>
          <w:spacing w:val="-3"/>
        </w:rPr>
        <w:t> </w:t>
      </w:r>
      <w:r>
        <w:rPr>
          <w:color w:val="00539E"/>
        </w:rPr>
        <w:t>of</w:t>
      </w:r>
      <w:r>
        <w:rPr>
          <w:color w:val="00539E"/>
          <w:spacing w:val="-3"/>
        </w:rPr>
        <w:t> </w:t>
      </w:r>
      <w:r>
        <w:rPr>
          <w:color w:val="00539E"/>
        </w:rPr>
        <w:t>Proxy</w:t>
      </w:r>
      <w:r>
        <w:rPr>
          <w:color w:val="00539E"/>
          <w:spacing w:val="-3"/>
        </w:rPr>
        <w:t> </w:t>
      </w:r>
      <w:r>
        <w:rPr>
          <w:color w:val="00539E"/>
        </w:rPr>
        <w:t>Materials</w:t>
      </w:r>
    </w:p>
    <w:p>
      <w:pPr>
        <w:pStyle w:val="BodyText"/>
        <w:spacing w:line="249" w:lineRule="auto" w:before="220"/>
        <w:ind w:left="250" w:right="347"/>
      </w:pPr>
      <w:r>
        <w:rPr/>
        <w:t>The SEC has adopted rules that permit companies and intermediaries (such as banks and brokers) to satisfy the</w:t>
      </w:r>
      <w:r>
        <w:rPr>
          <w:spacing w:val="1"/>
        </w:rPr>
        <w:t> </w:t>
      </w:r>
      <w:r>
        <w:rPr/>
        <w:t>delivery requirements for proxy statements and annual reports with respect to two or more stockholders sharing the</w:t>
      </w:r>
      <w:r>
        <w:rPr>
          <w:spacing w:val="-53"/>
        </w:rPr>
        <w:t> </w:t>
      </w:r>
      <w:r>
        <w:rPr/>
        <w:t>same address by delivering a single proxy statement addressed to those stockholders.</w:t>
      </w:r>
      <w:r>
        <w:rPr>
          <w:spacing w:val="1"/>
        </w:rPr>
        <w:t> </w:t>
      </w:r>
      <w:r>
        <w:rPr/>
        <w:t>This process, which is</w:t>
      </w:r>
      <w:r>
        <w:rPr>
          <w:spacing w:val="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referred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"householding,"</w:t>
      </w:r>
      <w:r>
        <w:rPr>
          <w:spacing w:val="-5"/>
        </w:rPr>
        <w:t> </w:t>
      </w:r>
      <w:r>
        <w:rPr/>
        <w:t>potentially</w:t>
      </w:r>
      <w:r>
        <w:rPr>
          <w:spacing w:val="-5"/>
        </w:rPr>
        <w:t> </w:t>
      </w:r>
      <w:r>
        <w:rPr/>
        <w:t>means</w:t>
      </w:r>
      <w:r>
        <w:rPr>
          <w:spacing w:val="-5"/>
        </w:rPr>
        <w:t> </w:t>
      </w:r>
      <w:r>
        <w:rPr/>
        <w:t>extra</w:t>
      </w:r>
      <w:r>
        <w:rPr>
          <w:spacing w:val="-5"/>
        </w:rPr>
        <w:t> </w:t>
      </w:r>
      <w:r>
        <w:rPr/>
        <w:t>convenience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stockholders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cost</w:t>
      </w:r>
      <w:r>
        <w:rPr>
          <w:spacing w:val="-5"/>
        </w:rPr>
        <w:t> </w:t>
      </w:r>
      <w:r>
        <w:rPr/>
        <w:t>savings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companies.</w:t>
      </w:r>
    </w:p>
    <w:p>
      <w:pPr>
        <w:pStyle w:val="BodyText"/>
        <w:spacing w:before="9"/>
        <w:rPr>
          <w:sz w:val="17"/>
        </w:rPr>
      </w:pPr>
    </w:p>
    <w:p>
      <w:pPr>
        <w:pStyle w:val="BodyText"/>
        <w:spacing w:line="249" w:lineRule="auto"/>
        <w:ind w:left="250" w:right="356"/>
      </w:pPr>
      <w:r>
        <w:rPr/>
        <w:t>This year, a number of brokers with account holders who are our stockholders will be "householding" our proxy</w:t>
      </w:r>
      <w:r>
        <w:rPr>
          <w:spacing w:val="1"/>
        </w:rPr>
        <w:t> </w:t>
      </w:r>
      <w:r>
        <w:rPr>
          <w:spacing w:val="-1"/>
        </w:rPr>
        <w:t>materials.</w:t>
      </w:r>
      <w:r>
        <w:rPr/>
        <w:t> </w:t>
      </w:r>
      <w:r>
        <w:rPr>
          <w:spacing w:val="-1"/>
        </w:rPr>
        <w:t>A single Notice of Annual Meeting of Stockholders </w:t>
      </w:r>
      <w:r>
        <w:rPr/>
        <w:t>("Notice") will be delivered to multiple stockholders</w:t>
      </w:r>
      <w:r>
        <w:rPr>
          <w:spacing w:val="1"/>
        </w:rPr>
        <w:t> </w:t>
      </w:r>
      <w:r>
        <w:rPr/>
        <w:t>sharing an address unless contrary instructions have been received from the impacted stockholders.</w:t>
      </w:r>
      <w:r>
        <w:rPr>
          <w:spacing w:val="1"/>
        </w:rPr>
        <w:t> </w:t>
      </w:r>
      <w:r>
        <w:rPr/>
        <w:t>Once you</w:t>
      </w:r>
      <w:r>
        <w:rPr>
          <w:spacing w:val="1"/>
        </w:rPr>
        <w:t> </w:t>
      </w:r>
      <w:r>
        <w:rPr/>
        <w:t>have received notice from your broker that they will be "householding" communications to your address,</w:t>
      </w:r>
      <w:r>
        <w:rPr>
          <w:spacing w:val="1"/>
        </w:rPr>
        <w:t> </w:t>
      </w:r>
      <w:r>
        <w:rPr/>
        <w:t>"householding" will continue until you are notified otherwise or until you revoke your consent. If, at any time, you no</w:t>
      </w:r>
      <w:r>
        <w:rPr>
          <w:spacing w:val="-53"/>
        </w:rPr>
        <w:t> </w:t>
      </w:r>
      <w:r>
        <w:rPr/>
        <w:t>longer wish to participate in "householding" and would prefer to receive a Notice, please notify us, by directing your</w:t>
      </w:r>
      <w:r>
        <w:rPr>
          <w:spacing w:val="-53"/>
        </w:rPr>
        <w:t> </w:t>
      </w:r>
      <w:r>
        <w:rPr>
          <w:spacing w:val="-1"/>
        </w:rPr>
        <w:t>request to: Equity LifeStyle Properties, </w:t>
      </w:r>
      <w:r>
        <w:rPr/>
        <w:t>Inc., Two North Riverside Plaza, Suite 800, Chicago, Illinois 60606; Attn:</w:t>
      </w:r>
      <w:r>
        <w:rPr>
          <w:spacing w:val="1"/>
        </w:rPr>
        <w:t> </w:t>
      </w:r>
      <w:r>
        <w:rPr/>
        <w:t>David Eldersveld, Corporate Secretary, Telephone: 312-279-1400. Stockholders who currently receive multiple</w:t>
      </w:r>
      <w:r>
        <w:rPr>
          <w:spacing w:val="1"/>
        </w:rPr>
        <w:t> </w:t>
      </w:r>
      <w:r>
        <w:rPr/>
        <w:t>copies of the proxy statement at their address and would like to request "householding" of their communications</w:t>
      </w:r>
      <w:r>
        <w:rPr>
          <w:spacing w:val="1"/>
        </w:rPr>
        <w:t> </w:t>
      </w:r>
      <w:r>
        <w:rPr/>
        <w:t>should</w:t>
      </w:r>
      <w:r>
        <w:rPr>
          <w:spacing w:val="-2"/>
        </w:rPr>
        <w:t> </w:t>
      </w:r>
      <w:r>
        <w:rPr/>
        <w:t>contact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broker.</w:t>
      </w:r>
    </w:p>
    <w:p>
      <w:pPr>
        <w:pStyle w:val="BodyText"/>
        <w:spacing w:before="4"/>
        <w:rPr>
          <w:sz w:val="17"/>
        </w:rPr>
      </w:pPr>
    </w:p>
    <w:p>
      <w:pPr>
        <w:pStyle w:val="Heading2"/>
      </w:pPr>
      <w:bookmarkStart w:name="Other Matters" w:id="96"/>
      <w:bookmarkEnd w:id="96"/>
      <w:r>
        <w:rPr>
          <w:b w:val="0"/>
        </w:rPr>
      </w:r>
      <w:bookmarkStart w:name="_bookmark44" w:id="97"/>
      <w:bookmarkEnd w:id="97"/>
      <w:r>
        <w:rPr>
          <w:b w:val="0"/>
        </w:rPr>
      </w:r>
      <w:r>
        <w:rPr>
          <w:color w:val="00539E"/>
        </w:rPr>
        <w:t>Other</w:t>
      </w:r>
      <w:r>
        <w:rPr>
          <w:color w:val="00539E"/>
          <w:spacing w:val="-4"/>
        </w:rPr>
        <w:t> </w:t>
      </w:r>
      <w:r>
        <w:rPr>
          <w:color w:val="00539E"/>
        </w:rPr>
        <w:t>Matters</w:t>
      </w:r>
    </w:p>
    <w:p>
      <w:pPr>
        <w:pStyle w:val="BodyText"/>
        <w:spacing w:line="249" w:lineRule="auto" w:before="220"/>
        <w:ind w:left="250" w:right="282"/>
      </w:pPr>
      <w:r>
        <w:rPr>
          <w:spacing w:val="-1"/>
        </w:rPr>
        <w:t>The Board knows </w:t>
      </w:r>
      <w:r>
        <w:rPr/>
        <w:t>of no other matters to be presented for stockholder action at the Annual Meeting. If any other</w:t>
      </w:r>
      <w:r>
        <w:rPr>
          <w:spacing w:val="-53"/>
        </w:rPr>
        <w:t> </w:t>
      </w:r>
      <w:r>
        <w:rPr>
          <w:spacing w:val="-1"/>
        </w:rPr>
        <w:t>matters </w:t>
      </w:r>
      <w:r>
        <w:rPr/>
        <w:t>are properly presented at the Annual Meeting for action, it is intended that the persons named in the</w:t>
      </w:r>
      <w:r>
        <w:rPr>
          <w:spacing w:val="1"/>
        </w:rPr>
        <w:t> </w:t>
      </w:r>
      <w:r>
        <w:rPr/>
        <w:t>accompanying</w:t>
      </w:r>
      <w:r>
        <w:rPr>
          <w:spacing w:val="-3"/>
        </w:rPr>
        <w:t> </w:t>
      </w:r>
      <w:r>
        <w:rPr/>
        <w:t>proxy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acting</w:t>
      </w:r>
      <w:r>
        <w:rPr>
          <w:spacing w:val="-3"/>
        </w:rPr>
        <w:t> </w:t>
      </w:r>
      <w:r>
        <w:rPr/>
        <w:t>thereunder</w:t>
      </w:r>
      <w:r>
        <w:rPr>
          <w:spacing w:val="-3"/>
        </w:rPr>
        <w:t> </w:t>
      </w:r>
      <w:r>
        <w:rPr/>
        <w:t>will</w:t>
      </w:r>
      <w:r>
        <w:rPr>
          <w:spacing w:val="-3"/>
        </w:rPr>
        <w:t> </w:t>
      </w:r>
      <w:r>
        <w:rPr/>
        <w:t>vote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accordance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discretion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such</w:t>
      </w:r>
      <w:r>
        <w:rPr>
          <w:spacing w:val="-3"/>
        </w:rPr>
        <w:t> </w:t>
      </w:r>
      <w:r>
        <w:rPr/>
        <w:t>matters.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ind w:left="5290"/>
      </w:pPr>
      <w:r>
        <w:rPr/>
        <w:t>By</w:t>
      </w:r>
      <w:r>
        <w:rPr>
          <w:spacing w:val="-4"/>
        </w:rPr>
        <w:t> </w:t>
      </w:r>
      <w:r>
        <w:rPr/>
        <w:t>Order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Board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Directors</w:t>
      </w:r>
    </w:p>
    <w:p>
      <w:pPr>
        <w:pStyle w:val="BodyText"/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4010497</wp:posOffset>
            </wp:positionH>
            <wp:positionV relativeFrom="paragraph">
              <wp:posOffset>160305</wp:posOffset>
            </wp:positionV>
            <wp:extent cx="1102293" cy="396239"/>
            <wp:effectExtent l="0" t="0" r="0" b="0"/>
            <wp:wrapTopAndBottom/>
            <wp:docPr id="6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293" cy="396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9"/>
        </w:rPr>
      </w:pPr>
    </w:p>
    <w:p>
      <w:pPr>
        <w:pStyle w:val="BodyText"/>
        <w:spacing w:before="94"/>
        <w:ind w:left="5290"/>
      </w:pPr>
      <w:r>
        <w:rPr/>
        <w:t>David</w:t>
      </w:r>
      <w:r>
        <w:rPr>
          <w:spacing w:val="-12"/>
        </w:rPr>
        <w:t> </w:t>
      </w:r>
      <w:r>
        <w:rPr/>
        <w:t>P.</w:t>
      </w:r>
      <w:r>
        <w:rPr>
          <w:spacing w:val="-12"/>
        </w:rPr>
        <w:t> </w:t>
      </w:r>
      <w:r>
        <w:rPr/>
        <w:t>Eldersveld</w:t>
      </w:r>
    </w:p>
    <w:p>
      <w:pPr>
        <w:spacing w:line="249" w:lineRule="auto" w:before="10"/>
        <w:ind w:left="5290" w:right="608" w:firstLine="0"/>
        <w:jc w:val="left"/>
        <w:rPr>
          <w:i/>
          <w:sz w:val="20"/>
        </w:rPr>
      </w:pPr>
      <w:r>
        <w:rPr>
          <w:i/>
          <w:sz w:val="20"/>
        </w:rPr>
        <w:t>Executive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Vice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President,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Chief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Legal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Officer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and</w:t>
      </w:r>
      <w:r>
        <w:rPr>
          <w:i/>
          <w:spacing w:val="-52"/>
          <w:sz w:val="20"/>
        </w:rPr>
        <w:t> </w:t>
      </w:r>
      <w:r>
        <w:rPr>
          <w:i/>
          <w:sz w:val="20"/>
        </w:rPr>
        <w:t>Corporate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Secretary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9"/>
        <w:rPr>
          <w:i/>
          <w:sz w:val="22"/>
        </w:rPr>
      </w:pPr>
    </w:p>
    <w:p>
      <w:pPr>
        <w:pStyle w:val="BodyText"/>
        <w:spacing w:line="280" w:lineRule="auto"/>
        <w:ind w:left="250" w:right="9140"/>
      </w:pPr>
      <w:r>
        <w:rPr/>
        <w:t>March 15, 2022</w:t>
      </w:r>
      <w:r>
        <w:rPr>
          <w:spacing w:val="-53"/>
        </w:rPr>
        <w:t> </w:t>
      </w:r>
      <w:r>
        <w:rPr/>
        <w:t>Chicago,</w:t>
      </w:r>
      <w:r>
        <w:rPr>
          <w:spacing w:val="-12"/>
        </w:rPr>
        <w:t> </w:t>
      </w:r>
      <w:r>
        <w:rPr/>
        <w:t>Illinois</w:t>
      </w:r>
    </w:p>
    <w:p>
      <w:pPr>
        <w:spacing w:after="0" w:line="280" w:lineRule="auto"/>
        <w:sectPr>
          <w:pgSz w:w="12240" w:h="15840"/>
          <w:pgMar w:header="0" w:footer="517" w:top="740" w:bottom="780" w:left="740" w:right="700"/>
        </w:sectPr>
      </w:pPr>
    </w:p>
    <w:p>
      <w:pPr>
        <w:spacing w:before="73"/>
        <w:ind w:left="0" w:right="287" w:firstLine="0"/>
        <w:jc w:val="right"/>
        <w:rPr>
          <w:b/>
          <w:sz w:val="20"/>
        </w:rPr>
      </w:pPr>
      <w:bookmarkStart w:name="Appendix A" w:id="98"/>
      <w:bookmarkEnd w:id="98"/>
      <w:r>
        <w:rPr/>
      </w:r>
      <w:bookmarkStart w:name="_bookmark45" w:id="99"/>
      <w:bookmarkEnd w:id="99"/>
      <w:r>
        <w:rPr/>
      </w:r>
      <w:r>
        <w:rPr>
          <w:b/>
          <w:sz w:val="20"/>
        </w:rPr>
        <w:t>Appendix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A</w:t>
      </w:r>
    </w:p>
    <w:p>
      <w:pPr>
        <w:pStyle w:val="BodyText"/>
        <w:spacing w:before="3"/>
        <w:rPr>
          <w:b/>
          <w:sz w:val="18"/>
        </w:rPr>
      </w:pPr>
    </w:p>
    <w:p>
      <w:pPr>
        <w:spacing w:line="249" w:lineRule="auto" w:before="0"/>
        <w:ind w:left="2448" w:right="1362" w:hanging="860"/>
        <w:jc w:val="left"/>
        <w:rPr>
          <w:b/>
          <w:sz w:val="20"/>
        </w:rPr>
      </w:pPr>
      <w:r>
        <w:rPr>
          <w:b/>
          <w:sz w:val="20"/>
        </w:rPr>
        <w:t>Supplemental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Information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Compensation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Discussion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Analysis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52"/>
          <w:sz w:val="20"/>
        </w:rPr>
        <w:t> </w:t>
      </w:r>
      <w:r>
        <w:rPr>
          <w:b/>
          <w:sz w:val="20"/>
        </w:rPr>
        <w:t>Proxy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Statement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the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2022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Annual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Meeting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Stockholders</w:t>
      </w:r>
    </w:p>
    <w:p>
      <w:pPr>
        <w:pStyle w:val="BodyText"/>
        <w:spacing w:before="4"/>
        <w:rPr>
          <w:b/>
          <w:sz w:val="9"/>
        </w:rPr>
      </w:pPr>
    </w:p>
    <w:p>
      <w:pPr>
        <w:pStyle w:val="Heading4"/>
        <w:spacing w:line="249" w:lineRule="auto" w:before="94"/>
        <w:ind w:left="1583" w:hanging="1150"/>
      </w:pPr>
      <w:r>
        <w:rPr>
          <w:color w:val="00539E"/>
        </w:rPr>
        <w:t>INFORMATION</w:t>
      </w:r>
      <w:r>
        <w:rPr>
          <w:color w:val="00539E"/>
          <w:spacing w:val="-8"/>
        </w:rPr>
        <w:t> </w:t>
      </w:r>
      <w:r>
        <w:rPr>
          <w:color w:val="00539E"/>
        </w:rPr>
        <w:t>REGARDING</w:t>
      </w:r>
      <w:r>
        <w:rPr>
          <w:color w:val="00539E"/>
          <w:spacing w:val="-7"/>
        </w:rPr>
        <w:t> </w:t>
      </w:r>
      <w:r>
        <w:rPr>
          <w:color w:val="00539E"/>
        </w:rPr>
        <w:t>NON-GAAP</w:t>
      </w:r>
      <w:r>
        <w:rPr>
          <w:color w:val="00539E"/>
          <w:spacing w:val="-8"/>
        </w:rPr>
        <w:t> </w:t>
      </w:r>
      <w:r>
        <w:rPr>
          <w:color w:val="00539E"/>
        </w:rPr>
        <w:t>FINANCIAL</w:t>
      </w:r>
      <w:r>
        <w:rPr>
          <w:color w:val="00539E"/>
          <w:spacing w:val="-7"/>
        </w:rPr>
        <w:t> </w:t>
      </w:r>
      <w:r>
        <w:rPr>
          <w:color w:val="00539E"/>
        </w:rPr>
        <w:t>MEASURES</w:t>
      </w:r>
      <w:r>
        <w:rPr>
          <w:color w:val="00539E"/>
          <w:spacing w:val="-8"/>
        </w:rPr>
        <w:t> </w:t>
      </w:r>
      <w:r>
        <w:rPr>
          <w:color w:val="00539E"/>
        </w:rPr>
        <w:t>AND</w:t>
      </w:r>
      <w:r>
        <w:rPr>
          <w:color w:val="00539E"/>
          <w:spacing w:val="-7"/>
        </w:rPr>
        <w:t> </w:t>
      </w:r>
      <w:r>
        <w:rPr>
          <w:color w:val="00539E"/>
        </w:rPr>
        <w:t>RECONCILIATION</w:t>
      </w:r>
      <w:r>
        <w:rPr>
          <w:color w:val="00539E"/>
          <w:spacing w:val="-8"/>
        </w:rPr>
        <w:t> </w:t>
      </w:r>
      <w:r>
        <w:rPr>
          <w:color w:val="00539E"/>
        </w:rPr>
        <w:t>OF</w:t>
      </w:r>
      <w:r>
        <w:rPr>
          <w:color w:val="00539E"/>
          <w:spacing w:val="-7"/>
        </w:rPr>
        <w:t> </w:t>
      </w:r>
      <w:r>
        <w:rPr>
          <w:color w:val="00539E"/>
        </w:rPr>
        <w:t>NON-GAAP</w:t>
      </w:r>
      <w:r>
        <w:rPr>
          <w:color w:val="00539E"/>
          <w:spacing w:val="-53"/>
        </w:rPr>
        <w:t> </w:t>
      </w:r>
      <w:r>
        <w:rPr>
          <w:color w:val="00539E"/>
        </w:rPr>
        <w:t>FINANCIAL</w:t>
      </w:r>
      <w:r>
        <w:rPr>
          <w:color w:val="00539E"/>
          <w:spacing w:val="-3"/>
        </w:rPr>
        <w:t> </w:t>
      </w:r>
      <w:r>
        <w:rPr>
          <w:color w:val="00539E"/>
        </w:rPr>
        <w:t>MEASURES</w:t>
      </w:r>
      <w:r>
        <w:rPr>
          <w:color w:val="00539E"/>
          <w:spacing w:val="-2"/>
        </w:rPr>
        <w:t> </w:t>
      </w:r>
      <w:r>
        <w:rPr>
          <w:color w:val="00539E"/>
        </w:rPr>
        <w:t>TO</w:t>
      </w:r>
      <w:r>
        <w:rPr>
          <w:color w:val="00539E"/>
          <w:spacing w:val="-3"/>
        </w:rPr>
        <w:t> </w:t>
      </w:r>
      <w:r>
        <w:rPr>
          <w:color w:val="00539E"/>
        </w:rPr>
        <w:t>MOST</w:t>
      </w:r>
      <w:r>
        <w:rPr>
          <w:color w:val="00539E"/>
          <w:spacing w:val="-2"/>
        </w:rPr>
        <w:t> </w:t>
      </w:r>
      <w:r>
        <w:rPr>
          <w:color w:val="00539E"/>
        </w:rPr>
        <w:t>DIRECTLY</w:t>
      </w:r>
      <w:r>
        <w:rPr>
          <w:color w:val="00539E"/>
          <w:spacing w:val="-3"/>
        </w:rPr>
        <w:t> </w:t>
      </w:r>
      <w:r>
        <w:rPr>
          <w:color w:val="00539E"/>
        </w:rPr>
        <w:t>COMPARABLE</w:t>
      </w:r>
      <w:r>
        <w:rPr>
          <w:color w:val="00539E"/>
          <w:spacing w:val="-2"/>
        </w:rPr>
        <w:t> </w:t>
      </w:r>
      <w:r>
        <w:rPr>
          <w:color w:val="00539E"/>
        </w:rPr>
        <w:t>GAAP</w:t>
      </w:r>
      <w:r>
        <w:rPr>
          <w:color w:val="00539E"/>
          <w:spacing w:val="-2"/>
        </w:rPr>
        <w:t> </w:t>
      </w:r>
      <w:r>
        <w:rPr>
          <w:color w:val="00539E"/>
        </w:rPr>
        <w:t>MEASURES</w:t>
      </w:r>
    </w:p>
    <w:p>
      <w:pPr>
        <w:pStyle w:val="BodyText"/>
        <w:spacing w:before="6"/>
        <w:rPr>
          <w:b/>
          <w:sz w:val="17"/>
        </w:rPr>
      </w:pPr>
    </w:p>
    <w:p>
      <w:pPr>
        <w:pStyle w:val="BodyText"/>
        <w:spacing w:line="249" w:lineRule="auto"/>
        <w:ind w:left="250" w:right="343"/>
      </w:pPr>
      <w:r>
        <w:rPr>
          <w:spacing w:val="-1"/>
        </w:rPr>
        <w:t>The "Proxy </w:t>
      </w:r>
      <w:r>
        <w:rPr/>
        <w:t>Statement Summary" and "Compensation Discussion and Analysis" of this Proxy Statement contain</w:t>
      </w:r>
      <w:r>
        <w:rPr>
          <w:spacing w:val="1"/>
        </w:rPr>
        <w:t> </w:t>
      </w:r>
      <w:r>
        <w:rPr/>
        <w:t>Normalized Funds from Operations ("Normalized FFO"), a non-GAAP financial measure. Funds from Operations</w:t>
      </w:r>
      <w:r>
        <w:rPr>
          <w:spacing w:val="1"/>
        </w:rPr>
        <w:t> </w:t>
      </w:r>
      <w:r>
        <w:rPr/>
        <w:t>("FFO") is a non-GAAP financial measure. We define FFO as net income, computed in accordance with GAAP,</w:t>
      </w:r>
      <w:r>
        <w:rPr>
          <w:spacing w:val="1"/>
        </w:rPr>
        <w:t> </w:t>
      </w:r>
      <w:r>
        <w:rPr/>
        <w:t>excluding gains or losses from sales of properties, depreciation and amortization related to real estate, impairment</w:t>
      </w:r>
      <w:r>
        <w:rPr>
          <w:spacing w:val="1"/>
        </w:rPr>
        <w:t> </w:t>
      </w:r>
      <w:r>
        <w:rPr/>
        <w:t>charges and adjustments to reflect our share of FFO of unconsolidated joint ventures.</w:t>
      </w:r>
      <w:r>
        <w:rPr>
          <w:spacing w:val="1"/>
        </w:rPr>
        <w:t> </w:t>
      </w:r>
      <w:r>
        <w:rPr/>
        <w:t>Adjustments for</w:t>
      </w:r>
      <w:r>
        <w:rPr>
          <w:spacing w:val="1"/>
        </w:rPr>
        <w:t> </w:t>
      </w:r>
      <w:r>
        <w:rPr/>
        <w:t>unconsolidated joint ventures are calculated to reflect FFO on the same basis.</w:t>
      </w:r>
      <w:r>
        <w:rPr>
          <w:spacing w:val="55"/>
        </w:rPr>
        <w:t> </w:t>
      </w:r>
      <w:r>
        <w:rPr/>
        <w:t>We compute FFO in accordance</w:t>
      </w:r>
      <w:r>
        <w:rPr>
          <w:spacing w:val="1"/>
        </w:rPr>
        <w:t> </w:t>
      </w:r>
      <w:r>
        <w:rPr>
          <w:spacing w:val="-1"/>
        </w:rPr>
        <w:t>with our interpretation </w:t>
      </w:r>
      <w:r>
        <w:rPr/>
        <w:t>of standards established by the National Association of Real Estate Investment Trusts</w:t>
      </w:r>
      <w:r>
        <w:rPr>
          <w:spacing w:val="1"/>
        </w:rPr>
        <w:t> </w:t>
      </w:r>
      <w:r>
        <w:rPr/>
        <w:t>("NAREIT"), which may not be comparable to FFO reported by other REITs that do not define the term in</w:t>
      </w:r>
      <w:r>
        <w:rPr>
          <w:spacing w:val="1"/>
        </w:rPr>
        <w:t> </w:t>
      </w:r>
      <w:r>
        <w:rPr/>
        <w:t>accordance with the current NAREIT definition or that interpret the current NAREIT definition differently than we do.</w:t>
      </w:r>
      <w:r>
        <w:rPr>
          <w:spacing w:val="-53"/>
        </w:rPr>
        <w:t> </w:t>
      </w:r>
      <w:r>
        <w:rPr/>
        <w:t>We receive non-refundable upfront payments from membership upgrade contracts. In accordance with GAAP, the</w:t>
      </w:r>
      <w:r>
        <w:rPr>
          <w:spacing w:val="1"/>
        </w:rPr>
        <w:t> </w:t>
      </w:r>
      <w:r>
        <w:rPr/>
        <w:t>non-refundable upfront payments and related commissions are deferred and amortized over the estimated</w:t>
      </w:r>
      <w:r>
        <w:rPr>
          <w:spacing w:val="1"/>
        </w:rPr>
        <w:t> </w:t>
      </w:r>
      <w:r>
        <w:rPr/>
        <w:t>membership upgrade contract term. Although the NAREIT definition of FFO does not address the treatment of non-</w:t>
      </w:r>
      <w:r>
        <w:rPr>
          <w:spacing w:val="-53"/>
        </w:rPr>
        <w:t> </w:t>
      </w:r>
      <w:r>
        <w:rPr/>
        <w:t>refundable upfront payments, we believe that it is appropriate to adjust for the impact of the deferral activity in our</w:t>
      </w:r>
      <w:r>
        <w:rPr>
          <w:spacing w:val="1"/>
        </w:rPr>
        <w:t> </w:t>
      </w:r>
      <w:r>
        <w:rPr/>
        <w:t>calculation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FFO.</w:t>
      </w:r>
    </w:p>
    <w:p>
      <w:pPr>
        <w:pStyle w:val="BodyText"/>
        <w:spacing w:before="4"/>
        <w:rPr>
          <w:sz w:val="18"/>
        </w:rPr>
      </w:pPr>
    </w:p>
    <w:p>
      <w:pPr>
        <w:pStyle w:val="BodyText"/>
        <w:spacing w:line="249" w:lineRule="auto" w:before="1"/>
        <w:ind w:left="250" w:right="497"/>
      </w:pPr>
      <w:r>
        <w:rPr/>
        <w:t>We</w:t>
      </w:r>
      <w:r>
        <w:rPr>
          <w:spacing w:val="-5"/>
        </w:rPr>
        <w:t> </w:t>
      </w:r>
      <w:r>
        <w:rPr/>
        <w:t>define</w:t>
      </w:r>
      <w:r>
        <w:rPr>
          <w:spacing w:val="-4"/>
        </w:rPr>
        <w:t> </w:t>
      </w:r>
      <w:r>
        <w:rPr/>
        <w:t>Normalized</w:t>
      </w:r>
      <w:r>
        <w:rPr>
          <w:spacing w:val="-5"/>
        </w:rPr>
        <w:t> </w:t>
      </w:r>
      <w:r>
        <w:rPr/>
        <w:t>FFO</w:t>
      </w:r>
      <w:r>
        <w:rPr>
          <w:spacing w:val="-4"/>
        </w:rPr>
        <w:t> </w:t>
      </w:r>
      <w:r>
        <w:rPr/>
        <w:t>as</w:t>
      </w:r>
      <w:r>
        <w:rPr>
          <w:spacing w:val="-5"/>
        </w:rPr>
        <w:t> </w:t>
      </w:r>
      <w:r>
        <w:rPr/>
        <w:t>FFO</w:t>
      </w:r>
      <w:r>
        <w:rPr>
          <w:spacing w:val="-4"/>
        </w:rPr>
        <w:t> </w:t>
      </w:r>
      <w:r>
        <w:rPr/>
        <w:t>excluding</w:t>
      </w:r>
      <w:r>
        <w:rPr>
          <w:spacing w:val="-4"/>
        </w:rPr>
        <w:t> </w:t>
      </w:r>
      <w:r>
        <w:rPr/>
        <w:t>non-operating</w:t>
      </w:r>
      <w:r>
        <w:rPr>
          <w:spacing w:val="-5"/>
        </w:rPr>
        <w:t> </w:t>
      </w:r>
      <w:r>
        <w:rPr/>
        <w:t>income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expense</w:t>
      </w:r>
      <w:r>
        <w:rPr>
          <w:spacing w:val="-4"/>
        </w:rPr>
        <w:t> </w:t>
      </w:r>
      <w:r>
        <w:rPr/>
        <w:t>items</w:t>
      </w:r>
      <w:r>
        <w:rPr>
          <w:spacing w:val="-5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gains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losses</w:t>
      </w:r>
      <w:r>
        <w:rPr>
          <w:spacing w:val="1"/>
        </w:rPr>
        <w:t> </w:t>
      </w:r>
      <w:r>
        <w:rPr/>
        <w:t>from early debt extinguishment, including prepayment penalties and defeasance costs and other miscellaneous</w:t>
      </w:r>
      <w:r>
        <w:rPr>
          <w:spacing w:val="1"/>
        </w:rPr>
        <w:t> </w:t>
      </w:r>
      <w:r>
        <w:rPr/>
        <w:t>non-comparable items.</w:t>
      </w:r>
      <w:r>
        <w:rPr>
          <w:spacing w:val="1"/>
        </w:rPr>
        <w:t> </w:t>
      </w:r>
      <w:r>
        <w:rPr/>
        <w:t>Normalized FFO presented herein is not necessarily comparable to Normalized FFO</w:t>
      </w:r>
      <w:r>
        <w:rPr>
          <w:spacing w:val="1"/>
        </w:rPr>
        <w:t> </w:t>
      </w:r>
      <w:r>
        <w:rPr/>
        <w:t>presented by other real estate companies due to the fact that not all real estate companies use the same</w:t>
      </w:r>
      <w:r>
        <w:rPr>
          <w:spacing w:val="1"/>
        </w:rPr>
        <w:t> </w:t>
      </w:r>
      <w:r>
        <w:rPr/>
        <w:t>methodology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computing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amount.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/>
        <w:ind w:left="250" w:right="324"/>
      </w:pPr>
      <w:r>
        <w:rPr/>
        <w:t>We believe that FFO and Normalized FFO are helpful to investors as supplemental measures of the performance of</w:t>
      </w:r>
      <w:r>
        <w:rPr>
          <w:spacing w:val="-53"/>
        </w:rPr>
        <w:t> </w:t>
      </w:r>
      <w:r>
        <w:rPr/>
        <w:t>an equity REIT. We believe that by excluding the effect of gains or losses from sales of properties, depreciation and</w:t>
      </w:r>
      <w:r>
        <w:rPr>
          <w:spacing w:val="-53"/>
        </w:rPr>
        <w:t> </w:t>
      </w:r>
      <w:r>
        <w:rPr/>
        <w:t>amortization related</w:t>
      </w:r>
      <w:r>
        <w:rPr>
          <w:spacing w:val="1"/>
        </w:rPr>
        <w:t> </w:t>
      </w:r>
      <w:r>
        <w:rPr/>
        <w:t>to real</w:t>
      </w:r>
      <w:r>
        <w:rPr>
          <w:spacing w:val="1"/>
        </w:rPr>
        <w:t> </w:t>
      </w:r>
      <w:r>
        <w:rPr/>
        <w:t>estate and</w:t>
      </w:r>
      <w:r>
        <w:rPr>
          <w:spacing w:val="1"/>
        </w:rPr>
        <w:t> </w:t>
      </w:r>
      <w:r>
        <w:rPr/>
        <w:t>impairment charges,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based</w:t>
      </w:r>
      <w:r>
        <w:rPr>
          <w:spacing w:val="1"/>
        </w:rPr>
        <w:t> </w:t>
      </w:r>
      <w:r>
        <w:rPr/>
        <w:t>on historical</w:t>
      </w:r>
      <w:r>
        <w:rPr>
          <w:spacing w:val="1"/>
        </w:rPr>
        <w:t> </w:t>
      </w:r>
      <w:r>
        <w:rPr/>
        <w:t>costs and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of limited relevance in evaluating current performance, FFO can facilitate comparisons of operating performance</w:t>
      </w:r>
      <w:r>
        <w:rPr>
          <w:spacing w:val="1"/>
        </w:rPr>
        <w:t> </w:t>
      </w:r>
      <w:r>
        <w:rPr/>
        <w:t>between periods and among other equity REITs.</w:t>
      </w:r>
      <w:r>
        <w:rPr>
          <w:spacing w:val="1"/>
        </w:rPr>
        <w:t> </w:t>
      </w:r>
      <w:r>
        <w:rPr/>
        <w:t>We further believe that Normalized FFO provides useful</w:t>
      </w:r>
      <w:r>
        <w:rPr>
          <w:spacing w:val="1"/>
        </w:rPr>
        <w:t> </w:t>
      </w:r>
      <w:r>
        <w:rPr/>
        <w:t>information to investors, analysts and our management because it allows them to compare our operating</w:t>
      </w:r>
      <w:r>
        <w:rPr>
          <w:spacing w:val="1"/>
        </w:rPr>
        <w:t> </w:t>
      </w:r>
      <w:r>
        <w:rPr/>
        <w:t>performance to the operating performance of other real estate companies and between periods on a consistent</w:t>
      </w:r>
      <w:r>
        <w:rPr>
          <w:spacing w:val="1"/>
        </w:rPr>
        <w:t> </w:t>
      </w:r>
      <w:r>
        <w:rPr/>
        <w:t>basis without having to account for differences not related to our normal operations. For example, we believe that</w:t>
      </w:r>
      <w:r>
        <w:rPr>
          <w:spacing w:val="1"/>
        </w:rPr>
        <w:t> </w:t>
      </w:r>
      <w:r>
        <w:rPr/>
        <w:t>excluding the early extinguishment of debt and other miscellaneous non-comparable items from FFO allows</w:t>
      </w:r>
      <w:r>
        <w:rPr>
          <w:spacing w:val="1"/>
        </w:rPr>
        <w:t> </w:t>
      </w:r>
      <w:r>
        <w:rPr/>
        <w:t>investors, analysts and our management to assess the sustainability of operating performance in future periods</w:t>
      </w:r>
      <w:r>
        <w:rPr>
          <w:spacing w:val="1"/>
        </w:rPr>
        <w:t> </w:t>
      </w:r>
      <w:r>
        <w:rPr/>
        <w:t>because these costs do not affect the future operations of the properties. In some cases, we provide information</w:t>
      </w:r>
      <w:r>
        <w:rPr>
          <w:spacing w:val="1"/>
        </w:rPr>
        <w:t> </w:t>
      </w:r>
      <w:r>
        <w:rPr/>
        <w:t>about identified non-cash components of FFO and Normalized FFO because it allows investors, analysts and our</w:t>
      </w:r>
      <w:r>
        <w:rPr>
          <w:spacing w:val="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assess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those</w:t>
      </w:r>
      <w:r>
        <w:rPr>
          <w:spacing w:val="-1"/>
        </w:rPr>
        <w:t> </w:t>
      </w:r>
      <w:r>
        <w:rPr/>
        <w:t>items.</w:t>
      </w:r>
    </w:p>
    <w:p>
      <w:pPr>
        <w:pStyle w:val="BodyText"/>
        <w:spacing w:before="4"/>
        <w:rPr>
          <w:sz w:val="18"/>
        </w:rPr>
      </w:pPr>
    </w:p>
    <w:p>
      <w:pPr>
        <w:spacing w:before="0"/>
        <w:ind w:left="250" w:right="0" w:firstLine="0"/>
        <w:jc w:val="left"/>
        <w:rPr>
          <w:i/>
          <w:sz w:val="20"/>
        </w:rPr>
      </w:pPr>
      <w:r>
        <w:rPr>
          <w:i/>
          <w:sz w:val="20"/>
        </w:rPr>
        <w:t>Income</w:t>
      </w:r>
      <w:r>
        <w:rPr>
          <w:i/>
          <w:spacing w:val="-6"/>
          <w:sz w:val="20"/>
        </w:rPr>
        <w:t> </w:t>
      </w:r>
      <w:r>
        <w:rPr>
          <w:i/>
          <w:sz w:val="20"/>
        </w:rPr>
        <w:t>from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Rental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Operations,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Net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> </w:t>
      </w:r>
      <w:r>
        <w:rPr>
          <w:i/>
          <w:sz w:val="20"/>
        </w:rPr>
        <w:t>Depreciation</w:t>
      </w:r>
    </w:p>
    <w:p>
      <w:pPr>
        <w:pStyle w:val="BodyText"/>
        <w:spacing w:before="3"/>
        <w:rPr>
          <w:i/>
          <w:sz w:val="18"/>
        </w:rPr>
      </w:pPr>
    </w:p>
    <w:p>
      <w:pPr>
        <w:pStyle w:val="BodyText"/>
        <w:spacing w:line="249" w:lineRule="auto"/>
        <w:ind w:left="250" w:right="468"/>
      </w:pPr>
      <w:r>
        <w:rPr/>
        <w:t>We use income from rental operations, net of depreciation, as an alternative measure to evaluate the operating</w:t>
      </w:r>
      <w:r>
        <w:rPr>
          <w:spacing w:val="1"/>
        </w:rPr>
        <w:t> </w:t>
      </w:r>
      <w:r>
        <w:rPr/>
        <w:t>results of our home rental program. Income from rental operations, net of depreciation represents income from</w:t>
      </w:r>
      <w:r>
        <w:rPr>
          <w:spacing w:val="1"/>
        </w:rPr>
        <w:t> </w:t>
      </w:r>
      <w:r>
        <w:rPr/>
        <w:t>rental operations less depreciation expense on rental homes. We believe this measure is meaningful for investors</w:t>
      </w:r>
      <w:r>
        <w:rPr>
          <w:spacing w:val="-53"/>
        </w:rPr>
        <w:t> </w:t>
      </w:r>
      <w:r>
        <w:rPr/>
        <w:t>as it provides a complete picture of the home rental program operating results including the impact of depreciation</w:t>
      </w:r>
      <w:r>
        <w:rPr>
          <w:spacing w:val="-53"/>
        </w:rPr>
        <w:t> </w:t>
      </w:r>
      <w:r>
        <w:rPr/>
        <w:t>which</w:t>
      </w:r>
      <w:r>
        <w:rPr>
          <w:spacing w:val="-2"/>
        </w:rPr>
        <w:t> </w:t>
      </w:r>
      <w:r>
        <w:rPr/>
        <w:t>affects</w:t>
      </w:r>
      <w:r>
        <w:rPr>
          <w:spacing w:val="-1"/>
        </w:rPr>
        <w:t> </w:t>
      </w:r>
      <w:r>
        <w:rPr/>
        <w:t>our</w:t>
      </w:r>
      <w:r>
        <w:rPr>
          <w:spacing w:val="-2"/>
        </w:rPr>
        <w:t> </w:t>
      </w:r>
      <w:r>
        <w:rPr/>
        <w:t>home</w:t>
      </w:r>
      <w:r>
        <w:rPr>
          <w:spacing w:val="-1"/>
        </w:rPr>
        <w:t> </w:t>
      </w:r>
      <w:r>
        <w:rPr/>
        <w:t>rental</w:t>
      </w:r>
      <w:r>
        <w:rPr>
          <w:spacing w:val="-1"/>
        </w:rPr>
        <w:t> </w:t>
      </w:r>
      <w:r>
        <w:rPr/>
        <w:t>program</w:t>
      </w:r>
      <w:r>
        <w:rPr>
          <w:spacing w:val="-2"/>
        </w:rPr>
        <w:t> </w:t>
      </w:r>
      <w:r>
        <w:rPr/>
        <w:t>investment</w:t>
      </w:r>
      <w:r>
        <w:rPr>
          <w:spacing w:val="-1"/>
        </w:rPr>
        <w:t> </w:t>
      </w:r>
      <w:r>
        <w:rPr/>
        <w:t>decisions.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249" w:lineRule="auto" w:before="1"/>
        <w:ind w:left="250" w:right="346"/>
      </w:pPr>
      <w:r>
        <w:rPr/>
        <w:t>Our definitions and calculations of these Non-GAAP financial and operating measures and other terms may differ</w:t>
      </w:r>
      <w:r>
        <w:rPr>
          <w:spacing w:val="1"/>
        </w:rPr>
        <w:t> </w:t>
      </w:r>
      <w:r>
        <w:rPr/>
        <w:t>from the definitions and methodologies used by other REITs and, accordingly, may not be comparable. These Non-</w:t>
      </w:r>
      <w:r>
        <w:rPr>
          <w:spacing w:val="-53"/>
        </w:rPr>
        <w:t> </w:t>
      </w:r>
      <w:r>
        <w:rPr/>
        <w:t>GAAP financial and operating measures do not represent cash generated from operating activities in accordance</w:t>
      </w:r>
      <w:r>
        <w:rPr>
          <w:spacing w:val="1"/>
        </w:rPr>
        <w:t> </w:t>
      </w:r>
      <w:r>
        <w:rPr/>
        <w:t>with</w:t>
      </w:r>
      <w:r>
        <w:rPr>
          <w:spacing w:val="-6"/>
        </w:rPr>
        <w:t> </w:t>
      </w:r>
      <w:r>
        <w:rPr/>
        <w:t>GAAP,</w:t>
      </w:r>
      <w:r>
        <w:rPr>
          <w:spacing w:val="-6"/>
        </w:rPr>
        <w:t> </w:t>
      </w:r>
      <w:r>
        <w:rPr/>
        <w:t>nor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represent</w:t>
      </w:r>
      <w:r>
        <w:rPr>
          <w:spacing w:val="-6"/>
        </w:rPr>
        <w:t> </w:t>
      </w:r>
      <w:r>
        <w:rPr/>
        <w:t>cash</w:t>
      </w:r>
      <w:r>
        <w:rPr>
          <w:spacing w:val="-6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pay</w:t>
      </w:r>
      <w:r>
        <w:rPr>
          <w:spacing w:val="-5"/>
        </w:rPr>
        <w:t> </w:t>
      </w:r>
      <w:r>
        <w:rPr/>
        <w:t>distributions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should</w:t>
      </w:r>
      <w:r>
        <w:rPr>
          <w:spacing w:val="-5"/>
        </w:rPr>
        <w:t> </w:t>
      </w:r>
      <w:r>
        <w:rPr/>
        <w:t>not</w:t>
      </w:r>
      <w:r>
        <w:rPr>
          <w:spacing w:val="-6"/>
        </w:rPr>
        <w:t> </w:t>
      </w:r>
      <w:r>
        <w:rPr/>
        <w:t>be</w:t>
      </w:r>
      <w:r>
        <w:rPr>
          <w:spacing w:val="-5"/>
        </w:rPr>
        <w:t> </w:t>
      </w:r>
      <w:r>
        <w:rPr/>
        <w:t>considered</w:t>
      </w:r>
      <w:r>
        <w:rPr>
          <w:spacing w:val="-6"/>
        </w:rPr>
        <w:t> </w:t>
      </w:r>
      <w:r>
        <w:rPr/>
        <w:t>as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to net income, determined in accordance with GAAP, as an indication of our financial performance, or to cash flows</w:t>
      </w:r>
      <w:r>
        <w:rPr>
          <w:spacing w:val="-53"/>
        </w:rPr>
        <w:t> </w:t>
      </w:r>
      <w:r>
        <w:rPr/>
        <w:t>from operating activities, determined in accordance with GAAP, as a measure of our liquidity, nor is it indicative of</w:t>
      </w:r>
      <w:r>
        <w:rPr>
          <w:spacing w:val="1"/>
        </w:rPr>
        <w:t> </w:t>
      </w:r>
      <w:r>
        <w:rPr/>
        <w:t>funds</w:t>
      </w:r>
      <w:r>
        <w:rPr>
          <w:spacing w:val="-2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fund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cash</w:t>
      </w:r>
      <w:r>
        <w:rPr>
          <w:spacing w:val="-1"/>
        </w:rPr>
        <w:t> </w:t>
      </w:r>
      <w:r>
        <w:rPr/>
        <w:t>needs,</w:t>
      </w:r>
      <w:r>
        <w:rPr>
          <w:spacing w:val="-2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our</w:t>
      </w:r>
      <w:r>
        <w:rPr>
          <w:spacing w:val="-2"/>
        </w:rPr>
        <w:t> </w:t>
      </w:r>
      <w:r>
        <w:rPr/>
        <w:t>ability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make</w:t>
      </w:r>
      <w:r>
        <w:rPr>
          <w:spacing w:val="-1"/>
        </w:rPr>
        <w:t> </w:t>
      </w:r>
      <w:r>
        <w:rPr/>
        <w:t>cash</w:t>
      </w:r>
      <w:r>
        <w:rPr>
          <w:spacing w:val="-2"/>
        </w:rPr>
        <w:t> </w:t>
      </w:r>
      <w:r>
        <w:rPr/>
        <w:t>distributions.</w:t>
      </w:r>
    </w:p>
    <w:p>
      <w:pPr>
        <w:spacing w:after="0" w:line="249" w:lineRule="auto"/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spacing w:line="249" w:lineRule="auto" w:before="73"/>
        <w:ind w:left="250" w:right="282"/>
      </w:pPr>
      <w:r>
        <w:rPr/>
        <w:t>The</w:t>
      </w:r>
      <w:r>
        <w:rPr>
          <w:spacing w:val="-5"/>
        </w:rPr>
        <w:t> </w:t>
      </w:r>
      <w:r>
        <w:rPr/>
        <w:t>following</w:t>
      </w:r>
      <w:r>
        <w:rPr>
          <w:spacing w:val="-5"/>
        </w:rPr>
        <w:t> </w:t>
      </w:r>
      <w:r>
        <w:rPr/>
        <w:t>table</w:t>
      </w:r>
      <w:r>
        <w:rPr>
          <w:spacing w:val="-5"/>
        </w:rPr>
        <w:t> </w:t>
      </w:r>
      <w:r>
        <w:rPr/>
        <w:t>presents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calculation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FFO</w:t>
      </w:r>
      <w:r>
        <w:rPr>
          <w:spacing w:val="-4"/>
        </w:rPr>
        <w:t> </w:t>
      </w:r>
      <w:r>
        <w:rPr/>
        <w:t>available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Common</w:t>
      </w:r>
      <w:r>
        <w:rPr>
          <w:spacing w:val="-5"/>
        </w:rPr>
        <w:t> </w:t>
      </w:r>
      <w:r>
        <w:rPr/>
        <w:t>Stock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OP</w:t>
      </w:r>
      <w:r>
        <w:rPr>
          <w:spacing w:val="-8"/>
        </w:rPr>
        <w:t> </w:t>
      </w:r>
      <w:r>
        <w:rPr/>
        <w:t>Unitholders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Normalized</w:t>
      </w:r>
      <w:r>
        <w:rPr>
          <w:spacing w:val="1"/>
        </w:rPr>
        <w:t> </w:t>
      </w:r>
      <w:r>
        <w:rPr/>
        <w:t>FFO available for Common Stock and OP Unitholders for the years ended December 31, 2021, 2020, 2019, 2018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2017:</w:t>
      </w:r>
    </w:p>
    <w:p>
      <w:pPr>
        <w:pStyle w:val="BodyText"/>
        <w:spacing w:before="2"/>
        <w:rPr>
          <w:sz w:val="18"/>
        </w:rPr>
      </w:pPr>
    </w:p>
    <w:tbl>
      <w:tblPr>
        <w:tblW w:w="0" w:type="auto"/>
        <w:jc w:val="left"/>
        <w:tblInd w:w="2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13"/>
        <w:gridCol w:w="1135"/>
        <w:gridCol w:w="1004"/>
        <w:gridCol w:w="1004"/>
        <w:gridCol w:w="1004"/>
        <w:gridCol w:w="895"/>
      </w:tblGrid>
      <w:tr>
        <w:trPr>
          <w:trHeight w:val="322" w:hRule="atLeast"/>
        </w:trPr>
        <w:tc>
          <w:tcPr>
            <w:tcW w:w="6348" w:type="dxa"/>
            <w:gridSpan w:val="2"/>
          </w:tcPr>
          <w:p>
            <w:pPr>
              <w:pStyle w:val="TableParagraph"/>
              <w:spacing w:line="223" w:lineRule="exact" w:before="0"/>
              <w:jc w:val="left"/>
              <w:rPr>
                <w:sz w:val="20"/>
              </w:rPr>
            </w:pPr>
            <w:r>
              <w:rPr>
                <w:sz w:val="20"/>
              </w:rPr>
              <w:t>Net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Income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FFO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Normalized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FFO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Reconciliation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millions)</w:t>
            </w:r>
          </w:p>
        </w:tc>
        <w:tc>
          <w:tcPr>
            <w:tcW w:w="3907" w:type="dxa"/>
            <w:gridSpan w:val="4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6348" w:type="dxa"/>
            <w:gridSpan w:val="2"/>
            <w:tcBorders>
              <w:bottom w:val="single" w:sz="8" w:space="0" w:color="00539E"/>
            </w:tcBorders>
          </w:tcPr>
          <w:p>
            <w:pPr>
              <w:pStyle w:val="TableParagraph"/>
              <w:spacing w:line="230" w:lineRule="exact" w:before="93"/>
              <w:ind w:right="296"/>
              <w:rPr>
                <w:b/>
                <w:sz w:val="20"/>
              </w:rPr>
            </w:pPr>
            <w:r>
              <w:rPr>
                <w:b/>
                <w:color w:val="00539E"/>
                <w:sz w:val="20"/>
              </w:rPr>
              <w:t>2021</w:t>
            </w:r>
          </w:p>
        </w:tc>
        <w:tc>
          <w:tcPr>
            <w:tcW w:w="1004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30" w:lineRule="exact" w:before="93"/>
              <w:ind w:left="262"/>
              <w:jc w:val="left"/>
              <w:rPr>
                <w:b/>
                <w:sz w:val="20"/>
              </w:rPr>
            </w:pPr>
            <w:r>
              <w:rPr>
                <w:b/>
                <w:color w:val="00539E"/>
                <w:sz w:val="20"/>
              </w:rPr>
              <w:t>2020</w:t>
            </w:r>
          </w:p>
        </w:tc>
        <w:tc>
          <w:tcPr>
            <w:tcW w:w="1004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30" w:lineRule="exact" w:before="93"/>
              <w:ind w:left="263"/>
              <w:jc w:val="left"/>
              <w:rPr>
                <w:b/>
                <w:sz w:val="20"/>
              </w:rPr>
            </w:pPr>
            <w:r>
              <w:rPr>
                <w:b/>
                <w:color w:val="00539E"/>
                <w:sz w:val="20"/>
              </w:rPr>
              <w:t>2019</w:t>
            </w:r>
          </w:p>
        </w:tc>
        <w:tc>
          <w:tcPr>
            <w:tcW w:w="1004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30" w:lineRule="exact" w:before="93"/>
              <w:ind w:left="264"/>
              <w:jc w:val="left"/>
              <w:rPr>
                <w:b/>
                <w:sz w:val="20"/>
              </w:rPr>
            </w:pPr>
            <w:r>
              <w:rPr>
                <w:b/>
                <w:color w:val="00539E"/>
                <w:sz w:val="20"/>
              </w:rPr>
              <w:t>2018</w:t>
            </w:r>
          </w:p>
        </w:tc>
        <w:tc>
          <w:tcPr>
            <w:tcW w:w="895" w:type="dxa"/>
            <w:tcBorders>
              <w:bottom w:val="single" w:sz="8" w:space="0" w:color="00539E"/>
            </w:tcBorders>
          </w:tcPr>
          <w:p>
            <w:pPr>
              <w:pStyle w:val="TableParagraph"/>
              <w:spacing w:line="230" w:lineRule="exact" w:before="93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color w:val="00539E"/>
                <w:sz w:val="20"/>
              </w:rPr>
              <w:t>2017</w:t>
            </w:r>
          </w:p>
        </w:tc>
      </w:tr>
      <w:tr>
        <w:trPr>
          <w:trHeight w:val="280" w:hRule="atLeast"/>
        </w:trPr>
        <w:tc>
          <w:tcPr>
            <w:tcW w:w="6348" w:type="dxa"/>
            <w:gridSpan w:val="2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tabs>
                <w:tab w:pos="5377" w:val="left" w:leader="none"/>
                <w:tab w:pos="5748" w:val="left" w:leader="none"/>
              </w:tabs>
              <w:spacing w:line="230" w:lineRule="exact" w:before="30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Net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income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available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common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stockholders</w:t>
              <w:tab/>
              <w:t>$</w:t>
              <w:tab/>
              <w:t>262.5</w:t>
            </w:r>
          </w:p>
        </w:tc>
        <w:tc>
          <w:tcPr>
            <w:tcW w:w="1004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tabs>
                <w:tab w:pos="370" w:val="left" w:leader="none"/>
              </w:tabs>
              <w:spacing w:line="230" w:lineRule="exact" w:before="30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  <w:tab/>
              <w:t>228.3</w:t>
            </w:r>
          </w:p>
        </w:tc>
        <w:tc>
          <w:tcPr>
            <w:tcW w:w="1004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tabs>
                <w:tab w:pos="370" w:val="left" w:leader="none"/>
              </w:tabs>
              <w:spacing w:line="230" w:lineRule="exact" w:before="30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  <w:tab/>
              <w:t>279.1</w:t>
            </w:r>
          </w:p>
        </w:tc>
        <w:tc>
          <w:tcPr>
            <w:tcW w:w="1004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tabs>
                <w:tab w:pos="407" w:val="left" w:leader="none"/>
              </w:tabs>
              <w:spacing w:line="230" w:lineRule="exact" w:before="30"/>
              <w:ind w:left="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  <w:tab/>
              <w:t>212.6</w:t>
            </w:r>
          </w:p>
        </w:tc>
        <w:tc>
          <w:tcPr>
            <w:tcW w:w="895" w:type="dxa"/>
            <w:tcBorders>
              <w:top w:val="single" w:sz="8" w:space="0" w:color="00539E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</w:r>
            <w:r>
              <w:rPr>
                <w:b/>
                <w:spacing w:val="109"/>
                <w:sz w:val="20"/>
              </w:rPr>
              <w:t> </w:t>
            </w:r>
            <w:r>
              <w:rPr>
                <w:b/>
                <w:sz w:val="20"/>
              </w:rPr>
              <w:t>190.0</w:t>
            </w:r>
          </w:p>
        </w:tc>
      </w:tr>
      <w:tr>
        <w:trPr>
          <w:trHeight w:val="231" w:hRule="atLeast"/>
        </w:trPr>
        <w:tc>
          <w:tcPr>
            <w:tcW w:w="6348" w:type="dxa"/>
            <w:gridSpan w:val="2"/>
          </w:tcPr>
          <w:p>
            <w:pPr>
              <w:pStyle w:val="TableParagraph"/>
              <w:spacing w:line="187" w:lineRule="exact" w:before="25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Income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allocated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non-controlling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interests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OP</w:t>
            </w:r>
          </w:p>
        </w:tc>
        <w:tc>
          <w:tcPr>
            <w:tcW w:w="100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895" w:type="dxa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243" w:hRule="atLeast"/>
        </w:trPr>
        <w:tc>
          <w:tcPr>
            <w:tcW w:w="5213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units</w:t>
            </w:r>
          </w:p>
        </w:tc>
        <w:tc>
          <w:tcPr>
            <w:tcW w:w="1135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7"/>
              <w:rPr>
                <w:sz w:val="20"/>
              </w:rPr>
            </w:pPr>
            <w:r>
              <w:rPr>
                <w:sz w:val="20"/>
              </w:rPr>
              <w:t>13.5</w:t>
            </w:r>
          </w:p>
        </w:tc>
        <w:tc>
          <w:tcPr>
            <w:tcW w:w="1004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6"/>
              <w:rPr>
                <w:sz w:val="20"/>
              </w:rPr>
            </w:pPr>
            <w:r>
              <w:rPr>
                <w:sz w:val="20"/>
              </w:rPr>
              <w:t>13.1</w:t>
            </w:r>
          </w:p>
        </w:tc>
        <w:tc>
          <w:tcPr>
            <w:tcW w:w="1004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5"/>
              <w:rPr>
                <w:sz w:val="20"/>
              </w:rPr>
            </w:pPr>
            <w:r>
              <w:rPr>
                <w:sz w:val="20"/>
              </w:rPr>
              <w:t>16.8</w:t>
            </w:r>
          </w:p>
        </w:tc>
        <w:tc>
          <w:tcPr>
            <w:tcW w:w="1004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4"/>
              <w:rPr>
                <w:sz w:val="20"/>
              </w:rPr>
            </w:pPr>
            <w:r>
              <w:rPr>
                <w:sz w:val="20"/>
              </w:rPr>
              <w:t>13.8</w:t>
            </w:r>
          </w:p>
        </w:tc>
        <w:tc>
          <w:tcPr>
            <w:tcW w:w="895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74"/>
              <w:rPr>
                <w:sz w:val="20"/>
              </w:rPr>
            </w:pPr>
            <w:r>
              <w:rPr>
                <w:sz w:val="20"/>
              </w:rPr>
              <w:t>12.8</w:t>
            </w:r>
          </w:p>
        </w:tc>
      </w:tr>
      <w:tr>
        <w:trPr>
          <w:trHeight w:val="231" w:hRule="atLeast"/>
        </w:trPr>
        <w:tc>
          <w:tcPr>
            <w:tcW w:w="10255" w:type="dxa"/>
            <w:gridSpan w:val="6"/>
          </w:tcPr>
          <w:p>
            <w:pPr>
              <w:pStyle w:val="TableParagraph"/>
              <w:spacing w:line="187" w:lineRule="exact" w:before="25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Membership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upgrade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upfront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payments,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deferred,</w:t>
            </w:r>
          </w:p>
        </w:tc>
      </w:tr>
      <w:tr>
        <w:trPr>
          <w:trHeight w:val="243" w:hRule="atLeast"/>
        </w:trPr>
        <w:tc>
          <w:tcPr>
            <w:tcW w:w="5213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net</w:t>
            </w:r>
          </w:p>
        </w:tc>
        <w:tc>
          <w:tcPr>
            <w:tcW w:w="1135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7"/>
              <w:rPr>
                <w:sz w:val="20"/>
              </w:rPr>
            </w:pPr>
            <w:r>
              <w:rPr>
                <w:sz w:val="20"/>
              </w:rPr>
              <w:t>25.1</w:t>
            </w:r>
          </w:p>
        </w:tc>
        <w:tc>
          <w:tcPr>
            <w:tcW w:w="1004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6"/>
              <w:rPr>
                <w:sz w:val="20"/>
              </w:rPr>
            </w:pPr>
            <w:r>
              <w:rPr>
                <w:sz w:val="20"/>
              </w:rPr>
              <w:t>12.1</w:t>
            </w:r>
          </w:p>
        </w:tc>
        <w:tc>
          <w:tcPr>
            <w:tcW w:w="1004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5"/>
              <w:rPr>
                <w:sz w:val="20"/>
              </w:rPr>
            </w:pPr>
            <w:r>
              <w:rPr>
                <w:sz w:val="20"/>
              </w:rPr>
              <w:t>10.5</w:t>
            </w:r>
          </w:p>
        </w:tc>
        <w:tc>
          <w:tcPr>
            <w:tcW w:w="1004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4"/>
              <w:rPr>
                <w:sz w:val="20"/>
              </w:rPr>
            </w:pPr>
            <w:r>
              <w:rPr>
                <w:sz w:val="20"/>
              </w:rPr>
              <w:t>7.4</w:t>
            </w:r>
          </w:p>
        </w:tc>
        <w:tc>
          <w:tcPr>
            <w:tcW w:w="895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74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Membership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sales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commissions,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deferred,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net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32"/>
              <w:rPr>
                <w:sz w:val="20"/>
              </w:rPr>
            </w:pPr>
            <w:r>
              <w:rPr>
                <w:sz w:val="20"/>
              </w:rPr>
              <w:t>(5.1)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31"/>
              <w:rPr>
                <w:sz w:val="20"/>
              </w:rPr>
            </w:pPr>
            <w:r>
              <w:rPr>
                <w:sz w:val="20"/>
              </w:rPr>
              <w:t>(1.7)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30"/>
              <w:rPr>
                <w:sz w:val="20"/>
              </w:rPr>
            </w:pPr>
            <w:r>
              <w:rPr>
                <w:sz w:val="20"/>
              </w:rPr>
              <w:t>(1.2)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29"/>
              <w:rPr>
                <w:sz w:val="20"/>
              </w:rPr>
            </w:pPr>
            <w:r>
              <w:rPr>
                <w:sz w:val="20"/>
              </w:rPr>
              <w:t>(0.8)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"/>
              <w:rPr>
                <w:sz w:val="20"/>
              </w:rPr>
            </w:pPr>
            <w:r>
              <w:rPr>
                <w:sz w:val="20"/>
              </w:rPr>
              <w:t>(0.4)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Depreciation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amortization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7"/>
              <w:rPr>
                <w:sz w:val="20"/>
              </w:rPr>
            </w:pPr>
            <w:r>
              <w:rPr>
                <w:sz w:val="20"/>
              </w:rPr>
              <w:t>188.4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6"/>
              <w:rPr>
                <w:sz w:val="20"/>
              </w:rPr>
            </w:pPr>
            <w:r>
              <w:rPr>
                <w:sz w:val="20"/>
              </w:rPr>
              <w:t>155.1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5"/>
              <w:rPr>
                <w:sz w:val="20"/>
              </w:rPr>
            </w:pPr>
            <w:r>
              <w:rPr>
                <w:sz w:val="20"/>
              </w:rPr>
              <w:t>152.1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4"/>
              <w:rPr>
                <w:sz w:val="20"/>
              </w:rPr>
            </w:pPr>
            <w:r>
              <w:rPr>
                <w:sz w:val="20"/>
              </w:rPr>
              <w:t>137.2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sz w:val="20"/>
              </w:rPr>
            </w:pPr>
            <w:r>
              <w:rPr>
                <w:sz w:val="20"/>
              </w:rPr>
              <w:t>123.7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Depreciation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unconsolidated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joint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ventures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7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6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5"/>
              <w:rPr>
                <w:sz w:val="20"/>
              </w:rPr>
            </w:pPr>
            <w:r>
              <w:rPr>
                <w:sz w:val="20"/>
              </w:rPr>
              <w:t>1.2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4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Gain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unconsolidated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joint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ventures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7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31"/>
              <w:rPr>
                <w:sz w:val="20"/>
              </w:rPr>
            </w:pPr>
            <w:r>
              <w:rPr>
                <w:sz w:val="20"/>
              </w:rPr>
              <w:t>(1.2)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Gain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sale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real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estate,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net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7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30"/>
              <w:rPr>
                <w:sz w:val="20"/>
              </w:rPr>
            </w:pPr>
            <w:r>
              <w:rPr>
                <w:sz w:val="20"/>
              </w:rPr>
              <w:t>(52.5)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left="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FFO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available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common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stockholders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7"/>
              <w:rPr>
                <w:b/>
                <w:sz w:val="20"/>
              </w:rPr>
            </w:pPr>
            <w:r>
              <w:rPr>
                <w:b/>
                <w:sz w:val="20"/>
              </w:rPr>
              <w:t>485.6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406.4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406.0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4"/>
              <w:rPr>
                <w:b/>
                <w:sz w:val="20"/>
              </w:rPr>
            </w:pPr>
            <w:r>
              <w:rPr>
                <w:b/>
                <w:sz w:val="20"/>
              </w:rPr>
              <w:t>372.0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331.7</w:t>
            </w:r>
          </w:p>
        </w:tc>
      </w:tr>
      <w:tr>
        <w:trPr>
          <w:trHeight w:val="231" w:hRule="atLeast"/>
        </w:trPr>
        <w:tc>
          <w:tcPr>
            <w:tcW w:w="10255" w:type="dxa"/>
            <w:gridSpan w:val="6"/>
          </w:tcPr>
          <w:p>
            <w:pPr>
              <w:pStyle w:val="TableParagraph"/>
              <w:spacing w:line="187" w:lineRule="exact" w:before="25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Insurance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proceeds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due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catastrophic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weather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event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</w:p>
        </w:tc>
      </w:tr>
      <w:tr>
        <w:trPr>
          <w:trHeight w:val="243" w:hRule="atLeast"/>
        </w:trPr>
        <w:tc>
          <w:tcPr>
            <w:tcW w:w="5213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other,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net</w:t>
            </w:r>
          </w:p>
        </w:tc>
        <w:tc>
          <w:tcPr>
            <w:tcW w:w="1135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7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04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9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04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30"/>
              <w:rPr>
                <w:sz w:val="20"/>
              </w:rPr>
            </w:pPr>
            <w:r>
              <w:rPr>
                <w:sz w:val="20"/>
              </w:rPr>
              <w:t>(6.2)</w:t>
            </w:r>
          </w:p>
        </w:tc>
        <w:tc>
          <w:tcPr>
            <w:tcW w:w="1004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29"/>
              <w:rPr>
                <w:sz w:val="20"/>
              </w:rPr>
            </w:pPr>
            <w:r>
              <w:rPr>
                <w:sz w:val="20"/>
              </w:rPr>
              <w:t>(5.1)</w:t>
            </w:r>
          </w:p>
        </w:tc>
        <w:tc>
          <w:tcPr>
            <w:tcW w:w="895" w:type="dxa"/>
            <w:tcBorders>
              <w:bottom w:val="single" w:sz="8" w:space="0" w:color="888A8C"/>
            </w:tcBorders>
          </w:tcPr>
          <w:p>
            <w:pPr>
              <w:pStyle w:val="TableParagraph"/>
              <w:spacing w:line="223" w:lineRule="exact" w:before="0"/>
              <w:ind w:right="74"/>
              <w:rPr>
                <w:sz w:val="20"/>
              </w:rPr>
            </w:pPr>
            <w:r>
              <w:rPr>
                <w:sz w:val="20"/>
              </w:rPr>
              <w:t>0.8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Early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debt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retirement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7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6"/>
              <w:rPr>
                <w:sz w:val="20"/>
              </w:rPr>
            </w:pPr>
            <w:r>
              <w:rPr>
                <w:sz w:val="20"/>
              </w:rPr>
              <w:t>10.8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5"/>
              <w:rPr>
                <w:sz w:val="20"/>
              </w:rPr>
            </w:pPr>
            <w:r>
              <w:rPr>
                <w:sz w:val="20"/>
              </w:rPr>
              <w:t>2.0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4"/>
              <w:rPr>
                <w:sz w:val="20"/>
              </w:rPr>
            </w:pPr>
            <w:r>
              <w:rPr>
                <w:sz w:val="20"/>
              </w:rPr>
              <w:t>1.1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COVID-19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expenses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7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6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left="52"/>
              <w:jc w:val="left"/>
              <w:rPr>
                <w:sz w:val="20"/>
              </w:rPr>
            </w:pPr>
            <w:r>
              <w:rPr>
                <w:sz w:val="20"/>
              </w:rPr>
              <w:t>Transaction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costs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7"/>
              <w:rPr>
                <w:sz w:val="20"/>
              </w:rPr>
            </w:pPr>
            <w:r>
              <w:rPr>
                <w:sz w:val="20"/>
              </w:rPr>
              <w:t>0.6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6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5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94"/>
              <w:rPr>
                <w:sz w:val="20"/>
              </w:rPr>
            </w:pPr>
            <w:r>
              <w:rPr>
                <w:sz w:val="20"/>
              </w:rPr>
              <w:t>—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888A8C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sz w:val="20"/>
              </w:rPr>
            </w:pPr>
            <w:r>
              <w:rPr>
                <w:sz w:val="20"/>
              </w:rPr>
              <w:t>0.7</w:t>
            </w:r>
          </w:p>
        </w:tc>
      </w:tr>
      <w:tr>
        <w:trPr>
          <w:trHeight w:val="280" w:hRule="atLeast"/>
        </w:trPr>
        <w:tc>
          <w:tcPr>
            <w:tcW w:w="5213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30" w:lineRule="exact" w:before="30"/>
              <w:ind w:left="10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Normalized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FFO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available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for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z w:val="20"/>
              </w:rPr>
              <w:t>common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stockholders</w:t>
            </w:r>
          </w:p>
        </w:tc>
        <w:tc>
          <w:tcPr>
            <w:tcW w:w="1135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tabs>
                <w:tab w:pos="535" w:val="left" w:leader="none"/>
              </w:tabs>
              <w:spacing w:line="230" w:lineRule="exact" w:before="30"/>
              <w:ind w:left="16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  <w:tab/>
              <w:t>489.0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tabs>
                <w:tab w:pos="370" w:val="left" w:leader="none"/>
              </w:tabs>
              <w:spacing w:line="230" w:lineRule="exact" w:before="30"/>
              <w:ind w:right="96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  <w:tab/>
              <w:t>418.6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tabs>
                <w:tab w:pos="370" w:val="left" w:leader="none"/>
              </w:tabs>
              <w:spacing w:line="230" w:lineRule="exact" w:before="30"/>
              <w:ind w:right="95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  <w:tab/>
              <w:t>401.8</w:t>
            </w:r>
          </w:p>
        </w:tc>
        <w:tc>
          <w:tcPr>
            <w:tcW w:w="1004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tabs>
                <w:tab w:pos="407" w:val="left" w:leader="none"/>
              </w:tabs>
              <w:spacing w:line="230" w:lineRule="exact" w:before="30"/>
              <w:ind w:left="3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  <w:tab/>
              <w:t>368.0</w:t>
            </w:r>
          </w:p>
        </w:tc>
        <w:tc>
          <w:tcPr>
            <w:tcW w:w="895" w:type="dxa"/>
            <w:tcBorders>
              <w:top w:val="single" w:sz="8" w:space="0" w:color="888A8C"/>
              <w:bottom w:val="single" w:sz="8" w:space="0" w:color="00539E"/>
            </w:tcBorders>
          </w:tcPr>
          <w:p>
            <w:pPr>
              <w:pStyle w:val="TableParagraph"/>
              <w:spacing w:line="230" w:lineRule="exact" w:before="30"/>
              <w:ind w:right="74"/>
              <w:rPr>
                <w:b/>
                <w:sz w:val="20"/>
              </w:rPr>
            </w:pPr>
            <w:r>
              <w:rPr>
                <w:b/>
                <w:sz w:val="20"/>
              </w:rPr>
              <w:t>$</w:t>
            </w:r>
            <w:r>
              <w:rPr>
                <w:b/>
                <w:spacing w:val="109"/>
                <w:sz w:val="20"/>
              </w:rPr>
              <w:t> </w:t>
            </w:r>
            <w:r>
              <w:rPr>
                <w:b/>
                <w:sz w:val="20"/>
              </w:rPr>
              <w:t>336.0</w:t>
            </w:r>
          </w:p>
        </w:tc>
      </w:tr>
    </w:tbl>
    <w:p>
      <w:pPr>
        <w:spacing w:after="0" w:line="230" w:lineRule="exact"/>
        <w:rPr>
          <w:sz w:val="20"/>
        </w:rPr>
        <w:sectPr>
          <w:pgSz w:w="12240" w:h="15840"/>
          <w:pgMar w:header="0" w:footer="517" w:top="740" w:bottom="780" w:left="740" w:right="700"/>
        </w:sectPr>
      </w:pPr>
    </w:p>
    <w:p>
      <w:pPr>
        <w:pStyle w:val="BodyText"/>
        <w:ind w:left="410"/>
      </w:pPr>
      <w:bookmarkStart w:name="Proxy Card Front" w:id="100"/>
      <w:bookmarkEnd w:id="100"/>
      <w:r>
        <w:rPr/>
      </w:r>
      <w:r>
        <w:rPr/>
        <w:drawing>
          <wp:inline distT="0" distB="0" distL="0" distR="0">
            <wp:extent cx="6042681" cy="762762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2681" cy="762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2240" w:h="15840"/>
          <w:pgMar w:header="0" w:footer="517" w:top="1460" w:bottom="700" w:left="740" w:right="70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17"/>
        </w:rPr>
      </w:pPr>
    </w:p>
    <w:p>
      <w:pPr>
        <w:pStyle w:val="BodyText"/>
        <w:ind w:left="394"/>
      </w:pPr>
      <w:bookmarkStart w:name="Proxy Card Back" w:id="101"/>
      <w:bookmarkEnd w:id="101"/>
      <w:r>
        <w:rPr/>
      </w:r>
      <w:r>
        <w:rPr/>
        <w:drawing>
          <wp:inline distT="0" distB="0" distL="0" distR="0">
            <wp:extent cx="6217942" cy="432816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942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sectPr>
      <w:pgSz w:w="12240" w:h="15840"/>
      <w:pgMar w:header="0" w:footer="517" w:top="1500" w:bottom="700" w:left="740" w:right="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Wingdings">
    <w:altName w:val="Wingdings"/>
    <w:charset w:val="2"/>
    <w:family w:val="auto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242880">
          <wp:simplePos x="0" y="0"/>
          <wp:positionH relativeFrom="page">
            <wp:posOffset>4905617</wp:posOffset>
          </wp:positionH>
          <wp:positionV relativeFrom="page">
            <wp:posOffset>9551669</wp:posOffset>
          </wp:positionV>
          <wp:extent cx="2061501" cy="301689"/>
          <wp:effectExtent l="0" t="0" r="0" b="0"/>
          <wp:wrapNone/>
          <wp:docPr id="5" name="image3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61501" cy="301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9.5pt;margin-top:766.438843pt;width:17pt;height:13.1pt;mso-position-horizontal-relative:page;mso-position-vertical-relative:page;z-index:-18073088" type="#_x0000_t202" id="docshape7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Times New Roman"/>
                    <w:b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b/>
                    <w:color w:val="00539E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485243904">
          <wp:simplePos x="0" y="0"/>
          <wp:positionH relativeFrom="page">
            <wp:posOffset>4827893</wp:posOffset>
          </wp:positionH>
          <wp:positionV relativeFrom="page">
            <wp:posOffset>9552305</wp:posOffset>
          </wp:positionV>
          <wp:extent cx="2111781" cy="301689"/>
          <wp:effectExtent l="0" t="0" r="0" b="0"/>
          <wp:wrapNone/>
          <wp:docPr id="27" name="image14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11781" cy="30168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548.380005pt;margin-top:766.34729pt;width:18.150pt;height:13.2pt;mso-position-horizontal-relative:page;mso-position-vertical-relative:page;z-index:-18072064" type="#_x0000_t202" id="docshape47" filled="false" stroked="false">
          <v:textbox inset="0,0,0,0">
            <w:txbxContent>
              <w:p>
                <w:pPr>
                  <w:pStyle w:val="BodyText"/>
                  <w:spacing w:before="13"/>
                  <w:ind w:left="60"/>
                </w:pPr>
                <w:r>
                  <w:rPr/>
                  <w:fldChar w:fldCharType="begin"/>
                </w:r>
                <w:r>
                  <w:rPr>
                    <w:color w:val="00539E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0"/>
      <w:numFmt w:val="bullet"/>
      <w:lvlText w:val="•"/>
      <w:lvlJc w:val="left"/>
      <w:pPr>
        <w:ind w:left="970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96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44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26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9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72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54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6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(%1)"/>
      <w:lvlJc w:val="left"/>
      <w:pPr>
        <w:ind w:left="61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16"/>
        <w:szCs w:val="16"/>
      </w:rPr>
    </w:lvl>
    <w:lvl w:ilvl="1">
      <w:start w:val="1"/>
      <w:numFmt w:val="decimal"/>
      <w:lvlText w:val="(%2)"/>
      <w:lvlJc w:val="left"/>
      <w:pPr>
        <w:ind w:left="97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16"/>
        <w:szCs w:val="16"/>
      </w:rPr>
    </w:lvl>
    <w:lvl w:ilvl="2">
      <w:start w:val="0"/>
      <w:numFmt w:val="bullet"/>
      <w:lvlText w:val="•"/>
      <w:lvlJc w:val="left"/>
      <w:pPr>
        <w:ind w:left="207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16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5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3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43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17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(%1)"/>
      <w:lvlJc w:val="left"/>
      <w:pPr>
        <w:ind w:left="61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6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64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(%1)"/>
      <w:lvlJc w:val="left"/>
      <w:pPr>
        <w:ind w:left="61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6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64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(%1)"/>
      <w:lvlJc w:val="left"/>
      <w:pPr>
        <w:ind w:left="61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638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656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7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92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1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2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64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(%1)"/>
      <w:lvlJc w:val="left"/>
      <w:pPr>
        <w:ind w:left="115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2124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08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5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1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98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4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08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72" w:hanging="36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"/>
      <w:lvlJc w:val="left"/>
      <w:pPr>
        <w:ind w:left="2882" w:hanging="253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0"/>
        <w:szCs w:val="30"/>
      </w:rPr>
    </w:lvl>
    <w:lvl w:ilvl="1">
      <w:start w:val="0"/>
      <w:numFmt w:val="bullet"/>
      <w:lvlText w:val="•"/>
      <w:lvlJc w:val="left"/>
      <w:pPr>
        <w:ind w:left="3672" w:hanging="2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464" w:hanging="2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256" w:hanging="2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048" w:hanging="2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40" w:hanging="2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32" w:hanging="2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24" w:hanging="2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16" w:hanging="253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(%1)"/>
      <w:lvlJc w:val="left"/>
      <w:pPr>
        <w:ind w:left="61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16"/>
        <w:szCs w:val="16"/>
      </w:rPr>
    </w:lvl>
    <w:lvl w:ilvl="1">
      <w:start w:val="1"/>
      <w:numFmt w:val="decimal"/>
      <w:lvlText w:val="(%2)"/>
      <w:lvlJc w:val="left"/>
      <w:pPr>
        <w:ind w:left="115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16"/>
        <w:szCs w:val="16"/>
      </w:rPr>
    </w:lvl>
    <w:lvl w:ilvl="2">
      <w:start w:val="0"/>
      <w:numFmt w:val="bullet"/>
      <w:lvlText w:val="•"/>
      <w:lvlJc w:val="left"/>
      <w:pPr>
        <w:ind w:left="223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1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57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(%1)"/>
      <w:lvlJc w:val="left"/>
      <w:pPr>
        <w:ind w:left="61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16"/>
        <w:szCs w:val="16"/>
      </w:rPr>
    </w:lvl>
    <w:lvl w:ilvl="1">
      <w:start w:val="0"/>
      <w:numFmt w:val="bullet"/>
      <w:lvlText w:val="•"/>
      <w:lvlJc w:val="left"/>
      <w:pPr>
        <w:ind w:left="1150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16"/>
        <w:szCs w:val="16"/>
      </w:rPr>
    </w:lvl>
    <w:lvl w:ilvl="2">
      <w:start w:val="0"/>
      <w:numFmt w:val="bullet"/>
      <w:lvlText w:val="•"/>
      <w:lvlJc w:val="left"/>
      <w:pPr>
        <w:ind w:left="223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0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37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1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8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57" w:hanging="360"/>
      </w:pPr>
      <w:rPr>
        <w:rFonts w:hint="default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662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</w:rPr>
    </w:lvl>
    <w:lvl w:ilvl="1">
      <w:start w:val="0"/>
      <w:numFmt w:val="bullet"/>
      <w:lvlText w:val="◦"/>
      <w:lvlJc w:val="left"/>
      <w:pPr>
        <w:ind w:left="1382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10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4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20" w:hanging="360"/>
      </w:pPr>
      <w:rPr>
        <w:rFonts w:hint="default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62" w:hanging="360"/>
      </w:pPr>
      <w:rPr>
        <w:rFonts w:hint="default" w:ascii="Arial" w:hAnsi="Arial" w:eastAsia="Arial" w:cs="Arial"/>
        <w:b w:val="0"/>
        <w:bCs w:val="0"/>
        <w:i/>
        <w:iCs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38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0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4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20" w:hanging="360"/>
      </w:pPr>
      <w:rPr>
        <w:rFonts w:hint="default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662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38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0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4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20" w:hanging="360"/>
      </w:pPr>
      <w:rPr>
        <w:rFonts w:hint="default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662" w:hanging="360"/>
      </w:pPr>
      <w:rPr>
        <w:rFonts w:hint="default" w:ascii="Arial" w:hAnsi="Arial" w:eastAsia="Arial" w:cs="Arial"/>
        <w:b w:val="0"/>
        <w:bCs w:val="0"/>
        <w:i/>
        <w:iCs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38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00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82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40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6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980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0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420" w:hanging="360"/>
      </w:pPr>
      <w:rPr>
        <w:rFonts w:hint="default"/>
      </w:rPr>
    </w:lvl>
  </w:abstractNum>
  <w:abstractNum w:abstractNumId="8">
    <w:multiLevelType w:val="hybridMultilevel"/>
    <w:lvl w:ilvl="0">
      <w:start w:val="0"/>
      <w:numFmt w:val="bullet"/>
      <w:lvlText w:val=""/>
      <w:lvlJc w:val="left"/>
      <w:pPr>
        <w:ind w:left="970" w:hanging="360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690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71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72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73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75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76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777" w:hanging="360"/>
      </w:pPr>
      <w:rPr>
        <w:rFonts w:hint="default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619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1052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71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6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33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678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02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373" w:hanging="360"/>
      </w:pPr>
      <w:rPr>
        <w:rFonts w:hint="default"/>
      </w:rPr>
    </w:lvl>
  </w:abstractNum>
  <w:abstractNum w:abstractNumId="6">
    <w:multiLevelType w:val="hybridMultilevel"/>
    <w:lvl w:ilvl="0">
      <w:start w:val="0"/>
      <w:numFmt w:val="bullet"/>
      <w:lvlText w:val=""/>
      <w:lvlJc w:val="left"/>
      <w:pPr>
        <w:ind w:left="970" w:hanging="572"/>
      </w:pPr>
      <w:rPr>
        <w:rFonts w:hint="default" w:ascii="Wingdings" w:hAnsi="Wingdings" w:eastAsia="Wingdings" w:cs="Wingdings"/>
        <w:b w:val="0"/>
        <w:bCs w:val="0"/>
        <w:i w:val="0"/>
        <w:iCs w:val="0"/>
        <w:w w:val="100"/>
        <w:sz w:val="32"/>
        <w:szCs w:val="32"/>
      </w:rPr>
    </w:lvl>
    <w:lvl w:ilvl="1">
      <w:start w:val="0"/>
      <w:numFmt w:val="bullet"/>
      <w:lvlText w:val="•"/>
      <w:lvlJc w:val="left"/>
      <w:pPr>
        <w:ind w:left="1962" w:hanging="5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44" w:hanging="5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26" w:hanging="5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08" w:hanging="5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890" w:hanging="5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72" w:hanging="5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854" w:hanging="5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36" w:hanging="572"/>
      </w:pPr>
      <w:rPr>
        <w:rFonts w:hint="default"/>
      </w:rPr>
    </w:lvl>
  </w:abstractNum>
  <w:abstractNum w:abstractNumId="5">
    <w:multiLevelType w:val="hybridMultilevel"/>
    <w:lvl w:ilvl="0">
      <w:start w:val="0"/>
      <w:numFmt w:val="bullet"/>
      <w:lvlText w:val=""/>
      <w:lvlJc w:val="left"/>
      <w:pPr>
        <w:ind w:left="433" w:hanging="350"/>
      </w:pPr>
      <w:rPr>
        <w:rFonts w:hint="default" w:ascii="Wingdings" w:hAnsi="Wingdings" w:eastAsia="Wingdings" w:cs="Wingdings"/>
        <w:b w:val="0"/>
        <w:bCs w:val="0"/>
        <w:i w:val="0"/>
        <w:iCs w:val="0"/>
        <w:color w:val="F08A1F"/>
        <w:w w:val="163"/>
        <w:sz w:val="20"/>
        <w:szCs w:val="20"/>
      </w:rPr>
    </w:lvl>
    <w:lvl w:ilvl="1">
      <w:start w:val="0"/>
      <w:numFmt w:val="bullet"/>
      <w:lvlText w:val=""/>
      <w:lvlJc w:val="left"/>
      <w:pPr>
        <w:ind w:left="651" w:hanging="350"/>
      </w:pPr>
      <w:rPr>
        <w:rFonts w:hint="default" w:ascii="Wingdings" w:hAnsi="Wingdings" w:eastAsia="Wingdings" w:cs="Wingdings"/>
        <w:b w:val="0"/>
        <w:bCs w:val="0"/>
        <w:i w:val="0"/>
        <w:iCs w:val="0"/>
        <w:color w:val="F08A1F"/>
        <w:w w:val="163"/>
        <w:sz w:val="20"/>
        <w:szCs w:val="20"/>
      </w:rPr>
    </w:lvl>
    <w:lvl w:ilvl="2">
      <w:start w:val="0"/>
      <w:numFmt w:val="bullet"/>
      <w:lvlText w:val="•"/>
      <w:lvlJc w:val="left"/>
      <w:pPr>
        <w:ind w:left="1052" w:hanging="360"/>
      </w:pPr>
      <w:rPr>
        <w:rFonts w:hint="default" w:ascii="Arial" w:hAnsi="Arial" w:eastAsia="Arial" w:cs="Arial"/>
        <w:b w:val="0"/>
        <w:bCs w:val="0"/>
        <w:i w:val="0"/>
        <w:iCs w:val="0"/>
        <w:w w:val="100"/>
        <w:sz w:val="20"/>
        <w:szCs w:val="20"/>
      </w:rPr>
    </w:lvl>
    <w:lvl w:ilvl="3">
      <w:start w:val="0"/>
      <w:numFmt w:val="bullet"/>
      <w:lvlText w:val="•"/>
      <w:lvlJc w:val="left"/>
      <w:pPr>
        <w:ind w:left="614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8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-278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-723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-1169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-1615" w:hanging="360"/>
      </w:pPr>
      <w:rPr>
        <w:rFonts w:hint="default"/>
      </w:rPr>
    </w:lvl>
  </w:abstractNum>
  <w:abstractNum w:abstractNumId="4">
    <w:multiLevelType w:val="hybridMultilevel"/>
    <w:lvl w:ilvl="0">
      <w:start w:val="0"/>
      <w:numFmt w:val="bullet"/>
      <w:lvlText w:val=""/>
      <w:lvlJc w:val="left"/>
      <w:pPr>
        <w:ind w:left="662" w:hanging="350"/>
      </w:pPr>
      <w:rPr>
        <w:rFonts w:hint="default" w:ascii="Wingdings" w:hAnsi="Wingdings" w:eastAsia="Wingdings" w:cs="Wingdings"/>
        <w:b w:val="0"/>
        <w:bCs w:val="0"/>
        <w:i w:val="0"/>
        <w:iCs w:val="0"/>
        <w:color w:val="F08A1F"/>
        <w:w w:val="163"/>
        <w:sz w:val="20"/>
        <w:szCs w:val="20"/>
      </w:rPr>
    </w:lvl>
    <w:lvl w:ilvl="1">
      <w:start w:val="0"/>
      <w:numFmt w:val="bullet"/>
      <w:lvlText w:val="•"/>
      <w:lvlJc w:val="left"/>
      <w:pPr>
        <w:ind w:left="1125" w:hanging="3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91" w:hanging="3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057" w:hanging="3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523" w:hanging="3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989" w:hanging="3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455" w:hanging="3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921" w:hanging="3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386" w:hanging="350"/>
      </w:pPr>
      <w:rPr>
        <w:rFonts w:hint="default"/>
      </w:rPr>
    </w:lvl>
  </w:abstractNum>
  <w:abstractNum w:abstractNumId="3">
    <w:multiLevelType w:val="hybridMultilevel"/>
    <w:lvl w:ilvl="0">
      <w:start w:val="0"/>
      <w:numFmt w:val="bullet"/>
      <w:lvlText w:val=""/>
      <w:lvlJc w:val="left"/>
      <w:pPr>
        <w:ind w:left="2762" w:hanging="315"/>
      </w:pPr>
      <w:rPr>
        <w:rFonts w:hint="default" w:ascii="Wingdings" w:hAnsi="Wingdings" w:eastAsia="Wingdings" w:cs="Wingdings"/>
        <w:b w:val="0"/>
        <w:bCs w:val="0"/>
        <w:i w:val="0"/>
        <w:iCs w:val="0"/>
        <w:color w:val="F08A1F"/>
        <w:w w:val="163"/>
        <w:sz w:val="18"/>
        <w:szCs w:val="18"/>
      </w:rPr>
    </w:lvl>
    <w:lvl w:ilvl="1">
      <w:start w:val="0"/>
      <w:numFmt w:val="bullet"/>
      <w:lvlText w:val="•"/>
      <w:lvlJc w:val="left"/>
      <w:pPr>
        <w:ind w:left="3564" w:hanging="31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368" w:hanging="3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172" w:hanging="3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76" w:hanging="3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80" w:hanging="3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84" w:hanging="3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88" w:hanging="3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92" w:hanging="315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610" w:hanging="360"/>
        <w:jc w:val="left"/>
      </w:pPr>
      <w:rPr>
        <w:rFonts w:hint="default" w:ascii="Arial" w:hAnsi="Arial" w:eastAsia="Arial" w:cs="Arial"/>
        <w:b/>
        <w:bCs/>
        <w:i w:val="0"/>
        <w:iCs w:val="0"/>
        <w:color w:val="F08A1F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ind w:left="800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28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76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24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72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320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68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4167" w:hanging="36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24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0"/>
        <w:szCs w:val="20"/>
      </w:rPr>
    </w:lvl>
    <w:lvl w:ilvl="1">
      <w:start w:val="0"/>
      <w:numFmt w:val="bullet"/>
      <w:lvlText w:val="•"/>
      <w:lvlJc w:val="left"/>
      <w:pPr>
        <w:ind w:left="2196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152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0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64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976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93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888" w:hanging="360"/>
      </w:pPr>
      <w:rPr>
        <w:rFonts w:hint="default"/>
      </w:rPr>
    </w:lvl>
  </w:abstractNum>
  <w:abstractNum w:abstractNumId="0">
    <w:multiLevelType w:val="hybridMultilevel"/>
    <w:lvl w:ilvl="0">
      <w:start w:val="10"/>
      <w:numFmt w:val="upperRoman"/>
      <w:lvlText w:val="[%1]"/>
      <w:lvlJc w:val="left"/>
      <w:pPr>
        <w:ind w:left="790" w:hanging="54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1330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-1"/>
        <w:w w:val="100"/>
        <w:sz w:val="20"/>
        <w:szCs w:val="20"/>
      </w:rPr>
    </w:lvl>
    <w:lvl w:ilvl="2">
      <w:start w:val="0"/>
      <w:numFmt w:val="bullet"/>
      <w:lvlText w:val="•"/>
      <w:lvlJc w:val="left"/>
      <w:pPr>
        <w:ind w:left="2391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442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93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54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95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646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697" w:hanging="360"/>
      </w:pPr>
      <w:rPr>
        <w:rFonts w:hint="default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TOC1" w:type="paragraph">
    <w:name w:val="TOC 1"/>
    <w:basedOn w:val="Normal"/>
    <w:uiPriority w:val="1"/>
    <w:qFormat/>
    <w:pPr>
      <w:spacing w:before="33"/>
      <w:ind w:left="302"/>
    </w:pPr>
    <w:rPr>
      <w:rFonts w:ascii="Arial" w:hAnsi="Arial" w:eastAsia="Arial" w:cs="Arial"/>
      <w:b/>
      <w:bCs/>
      <w:sz w:val="18"/>
      <w:szCs w:val="18"/>
    </w:rPr>
  </w:style>
  <w:style w:styleId="TOC2" w:type="paragraph">
    <w:name w:val="TOC 2"/>
    <w:basedOn w:val="Normal"/>
    <w:uiPriority w:val="1"/>
    <w:qFormat/>
    <w:pPr>
      <w:spacing w:before="33"/>
      <w:ind w:left="302"/>
    </w:pPr>
    <w:rPr>
      <w:rFonts w:ascii="Arial" w:hAnsi="Arial" w:eastAsia="Arial" w:cs="Arial"/>
      <w:sz w:val="18"/>
      <w:szCs w:val="18"/>
    </w:rPr>
  </w:style>
  <w:style w:styleId="TOC3" w:type="paragraph">
    <w:name w:val="TOC 3"/>
    <w:basedOn w:val="Normal"/>
    <w:uiPriority w:val="1"/>
    <w:qFormat/>
    <w:pPr>
      <w:spacing w:before="33"/>
      <w:ind w:left="662"/>
    </w:pPr>
    <w:rPr>
      <w:rFonts w:ascii="Arial" w:hAnsi="Arial" w:eastAsia="Arial" w:cs="Arial"/>
      <w:sz w:val="18"/>
      <w:szCs w:val="18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64"/>
      <w:ind w:left="2672" w:right="2708"/>
      <w:jc w:val="center"/>
      <w:outlineLvl w:val="1"/>
    </w:pPr>
    <w:rPr>
      <w:rFonts w:ascii="Arial" w:hAnsi="Arial" w:eastAsia="Arial" w:cs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250"/>
      <w:outlineLvl w:val="2"/>
    </w:pPr>
    <w:rPr>
      <w:rFonts w:ascii="Arial" w:hAnsi="Arial" w:eastAsia="Arial" w:cs="Arial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250"/>
      <w:outlineLvl w:val="3"/>
    </w:pPr>
    <w:rPr>
      <w:rFonts w:ascii="Arial" w:hAnsi="Arial" w:eastAsia="Arial" w:cs="Arial"/>
      <w:b/>
      <w:bCs/>
      <w:sz w:val="22"/>
      <w:szCs w:val="22"/>
    </w:rPr>
  </w:style>
  <w:style w:styleId="Heading4" w:type="paragraph">
    <w:name w:val="Heading 4"/>
    <w:basedOn w:val="Normal"/>
    <w:uiPriority w:val="1"/>
    <w:qFormat/>
    <w:pPr>
      <w:ind w:left="250"/>
      <w:outlineLvl w:val="4"/>
    </w:pPr>
    <w:rPr>
      <w:rFonts w:ascii="Arial" w:hAnsi="Arial" w:eastAsia="Arial" w:cs="Arial"/>
      <w:b/>
      <w:bCs/>
      <w:sz w:val="20"/>
      <w:szCs w:val="20"/>
    </w:rPr>
  </w:style>
  <w:style w:styleId="Heading5" w:type="paragraph">
    <w:name w:val="Heading 5"/>
    <w:basedOn w:val="Normal"/>
    <w:uiPriority w:val="1"/>
    <w:qFormat/>
    <w:pPr>
      <w:ind w:left="250"/>
      <w:outlineLvl w:val="5"/>
    </w:pPr>
    <w:rPr>
      <w:rFonts w:ascii="Arial" w:hAnsi="Arial" w:eastAsia="Arial" w:cs="Arial"/>
      <w:b/>
      <w:bCs/>
      <w:sz w:val="20"/>
      <w:szCs w:val="20"/>
    </w:rPr>
  </w:style>
  <w:style w:styleId="Title" w:type="paragraph">
    <w:name w:val="Title"/>
    <w:basedOn w:val="Normal"/>
    <w:uiPriority w:val="1"/>
    <w:qFormat/>
    <w:pPr>
      <w:spacing w:before="165"/>
      <w:ind w:left="2672" w:right="2708"/>
      <w:jc w:val="center"/>
    </w:pPr>
    <w:rPr>
      <w:rFonts w:ascii="Arial" w:hAnsi="Arial" w:eastAsia="Arial" w:cs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>
      <w:spacing w:before="70"/>
      <w:ind w:left="662" w:hanging="360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>
      <w:spacing w:before="31" w:line="184" w:lineRule="exact"/>
      <w:jc w:val="right"/>
    </w:pPr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virtualshareholdermeeting.com/ELS2022" TargetMode="External"/><Relationship Id="rId7" Type="http://schemas.openxmlformats.org/officeDocument/2006/relationships/hyperlink" Target="http://www.proxyvote.com/" TargetMode="External"/><Relationship Id="rId8" Type="http://schemas.openxmlformats.org/officeDocument/2006/relationships/image" Target="media/image2.jpeg"/><Relationship Id="rId9" Type="http://schemas.openxmlformats.org/officeDocument/2006/relationships/footer" Target="footer1.xml"/><Relationship Id="rId10" Type="http://schemas.openxmlformats.org/officeDocument/2006/relationships/image" Target="media/image4.jpeg"/><Relationship Id="rId11" Type="http://schemas.openxmlformats.org/officeDocument/2006/relationships/hyperlink" Target="http://www.virtualshareholdermeeting.com/" TargetMode="External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hyperlink" Target="http://www.equitylifestyleproperties.com/sustainability" TargetMode="External"/><Relationship Id="rId18" Type="http://schemas.openxmlformats.org/officeDocument/2006/relationships/image" Target="media/image10.jpeg"/><Relationship Id="rId19" Type="http://schemas.openxmlformats.org/officeDocument/2006/relationships/hyperlink" Target="http://www.equitylifestyleproperties.com/" TargetMode="External"/><Relationship Id="rId20" Type="http://schemas.openxmlformats.org/officeDocument/2006/relationships/hyperlink" Target="mailto:investor_relations@equitylifestyle.com" TargetMode="External"/><Relationship Id="rId21" Type="http://schemas.openxmlformats.org/officeDocument/2006/relationships/image" Target="media/image11.jpeg"/><Relationship Id="rId22" Type="http://schemas.openxmlformats.org/officeDocument/2006/relationships/hyperlink" Target="mailto:Investor_Relations@equitylifestyle.com" TargetMode="External"/><Relationship Id="rId23" Type="http://schemas.openxmlformats.org/officeDocument/2006/relationships/image" Target="media/image12.jpeg"/><Relationship Id="rId24" Type="http://schemas.openxmlformats.org/officeDocument/2006/relationships/image" Target="media/image13.jpeg"/><Relationship Id="rId25" Type="http://schemas.openxmlformats.org/officeDocument/2006/relationships/footer" Target="footer2.xml"/><Relationship Id="rId26" Type="http://schemas.openxmlformats.org/officeDocument/2006/relationships/image" Target="media/image15.jpeg"/><Relationship Id="rId27" Type="http://schemas.openxmlformats.org/officeDocument/2006/relationships/image" Target="media/image16.jpe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jpeg"/><Relationship Id="rId31" Type="http://schemas.openxmlformats.org/officeDocument/2006/relationships/image" Target="media/image20.jpeg"/><Relationship Id="rId32" Type="http://schemas.openxmlformats.org/officeDocument/2006/relationships/image" Target="media/image21.jpeg"/><Relationship Id="rId33" Type="http://schemas.openxmlformats.org/officeDocument/2006/relationships/image" Target="media/image22.jpeg"/><Relationship Id="rId34" Type="http://schemas.openxmlformats.org/officeDocument/2006/relationships/image" Target="media/image23.jpeg"/><Relationship Id="rId35" Type="http://schemas.openxmlformats.org/officeDocument/2006/relationships/image" Target="media/image24.jpeg"/><Relationship Id="rId36" Type="http://schemas.openxmlformats.org/officeDocument/2006/relationships/image" Target="media/image25.jpeg"/><Relationship Id="rId37" Type="http://schemas.openxmlformats.org/officeDocument/2006/relationships/image" Target="media/image26.jpeg"/><Relationship Id="rId38" Type="http://schemas.openxmlformats.org/officeDocument/2006/relationships/image" Target="media/image27.jpe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jpeg"/><Relationship Id="rId42" Type="http://schemas.openxmlformats.org/officeDocument/2006/relationships/image" Target="media/image31.jpeg"/><Relationship Id="rId43" Type="http://schemas.openxmlformats.org/officeDocument/2006/relationships/image" Target="media/image32.jpeg"/><Relationship Id="rId44" Type="http://schemas.openxmlformats.org/officeDocument/2006/relationships/image" Target="media/image33.jpeg"/><Relationship Id="rId45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dc:title>DEF 14A Proxy 2022</dc:title>
  <dcterms:created xsi:type="dcterms:W3CDTF">2022-03-23T13:46:27Z</dcterms:created>
  <dcterms:modified xsi:type="dcterms:W3CDTF">2022-03-23T13:46:27Z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Workiva</vt:lpwstr>
  </property>
  <property fmtid="{D5CDD505-2E9C-101B-9397-08002B2CF9AE}" pid="4" name="LastSaved">
    <vt:filetime>2022-03-23T00:00:00Z</vt:filetime>
  </property>
</Properties>
</file>