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36"/>
        </w:rPr>
      </w:pPr>
      <w:r>
        <w:rPr>
          <w:rFonts w:ascii="Times New Roman;serif" w:hAnsi="Times New Roman;serif"/>
          <w:b w:val="false"/>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2"/>
        </w:rPr>
        <w:t xml:space="preserve">Date of Report </w:t>
      </w:r>
      <w:r>
        <w:rPr>
          <w:rFonts w:ascii="Times New Roman;serif" w:hAnsi="Times New Roman;serif"/>
          <w:b/>
          <w:color w:val="000000"/>
          <w:sz w:val="20"/>
        </w:rPr>
        <w:t>(Date of earliest event reported): July 28,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EQUITY LIFESTYLE PROPERTIES,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532"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325"/>
        <w:gridCol w:w="325"/>
        <w:gridCol w:w="325"/>
        <w:gridCol w:w="319"/>
        <w:gridCol w:w="319"/>
        <w:gridCol w:w="336"/>
        <w:gridCol w:w="109"/>
        <w:gridCol w:w="109"/>
        <w:gridCol w:w="109"/>
        <w:gridCol w:w="953"/>
        <w:gridCol w:w="953"/>
        <w:gridCol w:w="1349"/>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1-11718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36-3857664</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Two North Riverside Plaza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Chicago,</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60606</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60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(312) 279-1400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4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4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4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4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190" w:type="dxa"/>
        <w:jc w:val="center"/>
        <w:tblInd w:w="0" w:type="dxa"/>
        <w:tblLayout w:type="fixed"/>
        <w:tblCellMar>
          <w:top w:w="28" w:type="dxa"/>
          <w:left w:w="28" w:type="dxa"/>
          <w:bottom w:w="28" w:type="dxa"/>
          <w:right w:w="28" w:type="dxa"/>
        </w:tblCellMar>
      </w:tblPr>
      <w:tblGrid>
        <w:gridCol w:w="1039"/>
        <w:gridCol w:w="913"/>
        <w:gridCol w:w="913"/>
        <w:gridCol w:w="540"/>
        <w:gridCol w:w="540"/>
        <w:gridCol w:w="540"/>
        <w:gridCol w:w="1085"/>
        <w:gridCol w:w="1085"/>
        <w:gridCol w:w="1535"/>
      </w:tblGrid>
      <w:tr>
        <w:trPr/>
        <w:tc>
          <w:tcPr>
            <w:tcW w:w="103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ind w:left="0" w:right="0" w:firstLine="765"/>
        <w:jc w:val="both"/>
        <w:rPr/>
      </w:pPr>
      <w:r>
        <w:rPr/>
      </w:r>
    </w:p>
    <w:p>
      <w:pPr>
        <w:pStyle w:val="TextBody"/>
        <w:bidi w:val="0"/>
        <w:spacing w:lineRule="auto" w:line="288" w:before="0" w:after="0"/>
        <w:ind w:left="0" w:right="0" w:firstLine="76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765"/>
        <w:jc w:val="both"/>
        <w:rPr/>
      </w:pPr>
      <w:r>
        <w:rPr/>
      </w:r>
    </w:p>
    <w:p>
      <w:pPr>
        <w:pStyle w:val="TextBody"/>
        <w:bidi w:val="0"/>
        <w:spacing w:lineRule="auto" w:line="288" w:before="0" w:after="0"/>
        <w:ind w:left="0" w:right="0" w:firstLine="765"/>
        <w:jc w:val="both"/>
        <w:rPr/>
      </w:pPr>
      <w:r>
        <w:rPr>
          <w:rFonts w:ascii="Times New Roman;serif" w:hAnsi="Times New Roman;serif"/>
          <w:b w:val="false"/>
          <w:color w:val="000000"/>
          <w:sz w:val="20"/>
        </w:rPr>
        <w:t>Emerging growth company</w:t>
      </w:r>
      <w:r>
        <w:rPr>
          <w:color w:val="000000"/>
        </w:rPr>
        <w:t xml:space="preserve">  ☐ </w:t>
      </w:r>
    </w:p>
    <w:p>
      <w:pPr>
        <w:pStyle w:val="TextBody"/>
        <w:bidi w:val="0"/>
        <w:spacing w:before="0" w:after="0"/>
        <w:jc w:val="left"/>
        <w:rPr/>
      </w:pPr>
      <w:r>
        <w:rPr/>
      </w:r>
    </w:p>
    <w:p>
      <w:pPr>
        <w:pStyle w:val="TextBody"/>
        <w:bidi w:val="0"/>
        <w:spacing w:lineRule="auto" w:line="288" w:before="0" w:after="0"/>
        <w:ind w:left="0" w:right="0" w:firstLine="81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before="0" w:after="0"/>
        <w:ind w:left="0" w:right="0" w:firstLine="81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0"/>
        </w:rPr>
        <w:t>Item 8.01</w:t>
      </w:r>
      <w:r>
        <w:rPr>
          <w:color w:val="000000"/>
        </w:rPr>
        <w:t>    </w:t>
      </w:r>
      <w:r>
        <w:rPr>
          <w:rFonts w:ascii="Times New Roman;serif" w:hAnsi="Times New Roman;serif"/>
          <w:b/>
          <w:color w:val="000000"/>
          <w:sz w:val="20"/>
        </w:rPr>
        <w:t>Other Events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28, 2026, the Board of Directors of Equity LifeStyle Properties, Inc. (referred to herein as “we,” “us,” and “our”) declared a third quarter 2026 dividend of $0.5425 per common share, representing, on an annualized basis, a dividend of $2.17 per common share. The dividend will be paid on October 9, 2026 to stockholders of record at the close of business on September 25, 2026.</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This report includes certain “forward-looking statements” within the meaning of the Private Securities Litigation Reform Act of 1995. When used, words such as “anticipate,” “expect,” “believe,” “project,” “intend,” “may be” and “will be” and similar words or phrases, or the negative thereof, unless the context requires otherwise, are intended to identify forward-looking statements and may include, without limitation, information regarding our expectations, goals or intentions regarding the future, and the expected effect of our acquisitions. Forward-looking statements, by their nature, involve estimates, projections, goals, forecasts and assumptions and are subject to risks and uncertainties that could cause actual results or outcomes to differ materially from those expressed in a forward-looking statement due to a number of factors, which include, but are not limited to the following: (i) the mix of site usage within the portfolio; (ii) yield management on our short-term resort and marina sites; (iii) scheduled or implemented rate increases on community, resort and marina sites; (iv) scheduled or implemented rate increases in annual payments under membership subscriptions; (v) occupancy changes; (vi) our ability to attract and retain membership customers; (vii) change in customer demand regarding travel and outdoor vacation destinations; (viii) our ability to manage expenses in an inflationary environment, including the impact of changes in tariffs, as well as costs associated with supply chain disruptions; (ix) changes in debt service and interest rates; (x) our ability to integrate and operate recent acquisitions in accordance with our estimates; (xi) our ability to execute expansion/development opportunities in the face of changes impacting the supply chain or labor markets; (xii) completion of pending transactions in their entirety and on assumed schedule; (xiii) our ability to attract and retain property employees, particularly seasonal employees; (xiv) ongoing legal matters and related fees; (xv) costs to clean up and restore property operations and potential revenue losses following storms or other unplanned events; and (xvi) the potential impact of material weaknesses, if any, in our internal control over financial reporting.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For further information on these and other factors that could impact us and the statements contained herein, refer to our filings with the Securities and Exchange Commission, including the “Risk Factors” and “Forward-Looking Statements” sections in our most recent Annual Report on Form 10-K and any subsequent Quarterly Reports on Form 10-Q.</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These forward-looking statements are based on management’s present expectations and beliefs about future events. As with any projection or forecast, these statements are inherently susceptible to uncertainty and changes in circumstances. We are under no obligation to, and expressly disclaim any obligation to, update or alter our forward-looking statements whether as a result of such changes, new information, subsequent events or otherwise.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We are a fully integrated owner of lifestyle-oriented properties and own or have an interest in 453 properties located predominantly in the United States consisting of 173,559 sites as of June 30, 2026. We are a self-administered, self-managed, real estate investment trust with headquarters in Chicago.</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417" w:before="6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476" w:type="dxa"/>
        <w:jc w:val="center"/>
        <w:tblInd w:w="0" w:type="dxa"/>
        <w:tblLayout w:type="fixed"/>
        <w:tblCellMar>
          <w:top w:w="28" w:type="dxa"/>
          <w:left w:w="28" w:type="dxa"/>
          <w:bottom w:w="28" w:type="dxa"/>
          <w:right w:w="28" w:type="dxa"/>
        </w:tblCellMar>
      </w:tblPr>
      <w:tblGrid>
        <w:gridCol w:w="618"/>
        <w:gridCol w:w="544"/>
        <w:gridCol w:w="547"/>
        <w:gridCol w:w="109"/>
        <w:gridCol w:w="109"/>
        <w:gridCol w:w="109"/>
        <w:gridCol w:w="1300"/>
        <w:gridCol w:w="1300"/>
        <w:gridCol w:w="184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LIFESTYLE PROPERTIES, INC.</w:t>
            </w:r>
          </w:p>
        </w:tc>
      </w:tr>
      <w:tr>
        <w:trPr/>
        <w:tc>
          <w:tcPr>
            <w:tcW w:w="170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Paul Seavey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Seavey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902</Words>
  <Characters>5144</Characters>
  <CharactersWithSpaces>6017</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