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1831340</wp:posOffset>
            </wp:positionH>
            <wp:positionV relativeFrom="page">
              <wp:posOffset>517525</wp:posOffset>
            </wp:positionV>
            <wp:extent cx="3891915"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891915" cy="11430"/>
                    </a:xfrm>
                    <a:prstGeom prst="rect">
                      <a:avLst/>
                    </a:prstGeom>
                    <a:noFill/>
                  </pic:spPr>
                </pic:pic>
              </a:graphicData>
            </a:graphic>
          </wp:anchor>
        </w:drawing>
        <w:drawing>
          <wp:anchor simplePos="0" relativeHeight="251657728" behindDoc="1" locked="0" layoutInCell="0" allowOverlap="1">
            <wp:simplePos x="0" y="0"/>
            <wp:positionH relativeFrom="page">
              <wp:posOffset>1831340</wp:posOffset>
            </wp:positionH>
            <wp:positionV relativeFrom="page">
              <wp:posOffset>471805</wp:posOffset>
            </wp:positionV>
            <wp:extent cx="3891915" cy="114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891915" cy="1143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1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FORM 8-K</w:t>
      </w:r>
    </w:p>
    <w:p>
      <w:pPr>
        <w:spacing w:after="0" w:line="1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Pursuant to Section 13 or 15(d) of the</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Securities Exchange Act of 1934</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 xml:space="preserve">Date of Report </w:t>
      </w:r>
      <w:r>
        <w:rPr>
          <w:rFonts w:ascii="Times New Roman" w:cs="Times New Roman" w:eastAsia="Times New Roman" w:hAnsi="Times New Roman"/>
          <w:sz w:val="11"/>
          <w:szCs w:val="11"/>
          <w:b w:val="1"/>
          <w:bCs w:val="1"/>
          <w:color w:val="auto"/>
        </w:rPr>
        <w:t>(Date of earliest event reported): May 4, 2026</w:t>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EQUITY LIFESTYLE PROPERTIES, INC.</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15" w:lineRule="exact"/>
        <w:rPr>
          <w:sz w:val="24"/>
          <w:szCs w:val="24"/>
          <w:color w:val="auto"/>
        </w:rPr>
      </w:pPr>
    </w:p>
    <w:tbl>
      <w:tblPr>
        <w:tblLayout w:type="fixed"/>
        <w:tblInd w:w="2880" w:type="dxa"/>
        <w:tblCellMar>
          <w:top w:w="0" w:type="dxa"/>
          <w:left w:w="0" w:type="dxa"/>
          <w:bottom w:w="0" w:type="dxa"/>
          <w:right w:w="0" w:type="dxa"/>
        </w:tblCellMar>
      </w:tblPr>
      <w:tr>
        <w:trPr>
          <w:trHeight w:val="174"/>
        </w:trPr>
        <w:tc>
          <w:tcPr>
            <w:tcW w:w="2060" w:type="dxa"/>
            <w:vAlign w:val="bottom"/>
          </w:tcPr>
          <w:p>
            <w:pPr>
              <w:jc w:val="center"/>
              <w:ind w:right="58"/>
              <w:spacing w:after="0"/>
              <w:rPr>
                <w:sz w:val="20"/>
                <w:szCs w:val="20"/>
                <w:color w:val="auto"/>
              </w:rPr>
            </w:pPr>
            <w:r>
              <w:rPr>
                <w:rFonts w:ascii="Times New Roman" w:cs="Times New Roman" w:eastAsia="Times New Roman" w:hAnsi="Times New Roman"/>
                <w:sz w:val="13"/>
                <w:szCs w:val="13"/>
                <w:b w:val="1"/>
                <w:bCs w:val="1"/>
                <w:color w:val="auto"/>
              </w:rPr>
              <w:t>Maryland</w:t>
            </w:r>
          </w:p>
        </w:tc>
        <w:tc>
          <w:tcPr>
            <w:tcW w:w="1400" w:type="dxa"/>
            <w:vAlign w:val="bottom"/>
            <w:gridSpan w:val="2"/>
          </w:tcPr>
          <w:p>
            <w:pPr>
              <w:jc w:val="right"/>
              <w:ind w:right="414"/>
              <w:spacing w:after="0"/>
              <w:rPr>
                <w:sz w:val="20"/>
                <w:szCs w:val="20"/>
                <w:color w:val="auto"/>
              </w:rPr>
            </w:pPr>
            <w:r>
              <w:rPr>
                <w:rFonts w:ascii="Times New Roman" w:cs="Times New Roman" w:eastAsia="Times New Roman" w:hAnsi="Times New Roman"/>
                <w:sz w:val="13"/>
                <w:szCs w:val="13"/>
                <w:b w:val="1"/>
                <w:bCs w:val="1"/>
                <w:color w:val="auto"/>
              </w:rPr>
              <w:t>1-11718</w:t>
            </w:r>
          </w:p>
        </w:tc>
        <w:tc>
          <w:tcPr>
            <w:tcW w:w="2020" w:type="dxa"/>
            <w:vAlign w:val="bottom"/>
          </w:tcPr>
          <w:p>
            <w:pPr>
              <w:jc w:val="right"/>
              <w:ind w:right="557"/>
              <w:spacing w:after="0"/>
              <w:rPr>
                <w:sz w:val="20"/>
                <w:szCs w:val="20"/>
                <w:color w:val="auto"/>
              </w:rPr>
            </w:pPr>
            <w:r>
              <w:rPr>
                <w:rFonts w:ascii="Times New Roman" w:cs="Times New Roman" w:eastAsia="Times New Roman" w:hAnsi="Times New Roman"/>
                <w:sz w:val="13"/>
                <w:szCs w:val="13"/>
                <w:b w:val="1"/>
                <w:bCs w:val="1"/>
                <w:color w:val="auto"/>
              </w:rPr>
              <w:t>36-3857664</w:t>
            </w:r>
          </w:p>
        </w:tc>
        <w:tc>
          <w:tcPr>
            <w:tcW w:w="0" w:type="dxa"/>
            <w:vAlign w:val="bottom"/>
          </w:tcPr>
          <w:p>
            <w:pPr>
              <w:spacing w:after="0"/>
              <w:rPr>
                <w:sz w:val="1"/>
                <w:szCs w:val="1"/>
                <w:color w:val="auto"/>
              </w:rPr>
            </w:pPr>
          </w:p>
        </w:tc>
      </w:tr>
      <w:tr>
        <w:trPr>
          <w:trHeight w:val="158"/>
        </w:trPr>
        <w:tc>
          <w:tcPr>
            <w:tcW w:w="2060" w:type="dxa"/>
            <w:vAlign w:val="bottom"/>
          </w:tcPr>
          <w:p>
            <w:pPr>
              <w:jc w:val="center"/>
              <w:ind w:right="58"/>
              <w:spacing w:after="0"/>
              <w:rPr>
                <w:sz w:val="20"/>
                <w:szCs w:val="20"/>
                <w:color w:val="auto"/>
              </w:rPr>
            </w:pPr>
            <w:r>
              <w:rPr>
                <w:rFonts w:ascii="Times New Roman" w:cs="Times New Roman" w:eastAsia="Times New Roman" w:hAnsi="Times New Roman"/>
                <w:sz w:val="12"/>
                <w:szCs w:val="12"/>
                <w:color w:val="auto"/>
                <w:w w:val="99"/>
              </w:rPr>
              <w:t>(State or other jurisdiction of</w:t>
            </w:r>
          </w:p>
        </w:tc>
        <w:tc>
          <w:tcPr>
            <w:tcW w:w="14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(Commission File No.)</w:t>
            </w:r>
          </w:p>
        </w:tc>
        <w:tc>
          <w:tcPr>
            <w:tcW w:w="2020" w:type="dxa"/>
            <w:vAlign w:val="bottom"/>
            <w:vMerge w:val="restart"/>
          </w:tcPr>
          <w:p>
            <w:pPr>
              <w:jc w:val="center"/>
              <w:ind w:left="97"/>
              <w:spacing w:after="0"/>
              <w:rPr>
                <w:sz w:val="20"/>
                <w:szCs w:val="20"/>
                <w:color w:val="auto"/>
              </w:rPr>
            </w:pPr>
            <w:r>
              <w:rPr>
                <w:rFonts w:ascii="Times New Roman" w:cs="Times New Roman" w:eastAsia="Times New Roman" w:hAnsi="Times New Roman"/>
                <w:sz w:val="12"/>
                <w:szCs w:val="12"/>
                <w:color w:val="auto"/>
                <w:w w:val="99"/>
              </w:rPr>
              <w:t>(IRS Employer Identification Number)</w:t>
            </w:r>
          </w:p>
        </w:tc>
        <w:tc>
          <w:tcPr>
            <w:tcW w:w="0" w:type="dxa"/>
            <w:vAlign w:val="bottom"/>
          </w:tcPr>
          <w:p>
            <w:pPr>
              <w:spacing w:after="0"/>
              <w:rPr>
                <w:sz w:val="1"/>
                <w:szCs w:val="1"/>
                <w:color w:val="auto"/>
              </w:rPr>
            </w:pPr>
          </w:p>
        </w:tc>
      </w:tr>
      <w:tr>
        <w:trPr>
          <w:trHeight w:val="81"/>
        </w:trPr>
        <w:tc>
          <w:tcPr>
            <w:tcW w:w="2060" w:type="dxa"/>
            <w:vAlign w:val="bottom"/>
            <w:vMerge w:val="restart"/>
          </w:tcPr>
          <w:p>
            <w:pPr>
              <w:jc w:val="center"/>
              <w:ind w:right="58"/>
              <w:spacing w:after="0"/>
              <w:rPr>
                <w:sz w:val="20"/>
                <w:szCs w:val="20"/>
                <w:color w:val="auto"/>
              </w:rPr>
            </w:pPr>
            <w:r>
              <w:rPr>
                <w:rFonts w:ascii="Times New Roman" w:cs="Times New Roman" w:eastAsia="Times New Roman" w:hAnsi="Times New Roman"/>
                <w:sz w:val="12"/>
                <w:szCs w:val="12"/>
                <w:color w:val="auto"/>
              </w:rPr>
              <w:t>incorporation)</w:t>
            </w:r>
          </w:p>
        </w:tc>
        <w:tc>
          <w:tcPr>
            <w:tcW w:w="1400" w:type="dxa"/>
            <w:vAlign w:val="bottom"/>
            <w:gridSpan w:val="2"/>
            <w:vMerge w:val="continue"/>
          </w:tcPr>
          <w:p>
            <w:pPr>
              <w:spacing w:after="0"/>
              <w:rPr>
                <w:sz w:val="7"/>
                <w:szCs w:val="7"/>
                <w:color w:val="auto"/>
              </w:rPr>
            </w:pPr>
          </w:p>
        </w:tc>
        <w:tc>
          <w:tcPr>
            <w:tcW w:w="2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2060" w:type="dxa"/>
            <w:vAlign w:val="bottom"/>
          </w:tcPr>
          <w:p>
            <w:pPr>
              <w:jc w:val="center"/>
              <w:ind w:right="78"/>
              <w:spacing w:after="0"/>
              <w:rPr>
                <w:sz w:val="20"/>
                <w:szCs w:val="20"/>
                <w:color w:val="auto"/>
              </w:rPr>
            </w:pPr>
            <w:r>
              <w:rPr>
                <w:rFonts w:ascii="Times New Roman" w:cs="Times New Roman" w:eastAsia="Times New Roman" w:hAnsi="Times New Roman"/>
                <w:sz w:val="13"/>
                <w:szCs w:val="13"/>
                <w:b w:val="1"/>
                <w:bCs w:val="1"/>
                <w:color w:val="auto"/>
              </w:rPr>
              <w:t>Two North Riverside Plaza</w:t>
            </w:r>
          </w:p>
        </w:tc>
        <w:tc>
          <w:tcPr>
            <w:tcW w:w="70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Chicago,</w:t>
            </w:r>
          </w:p>
        </w:tc>
        <w:tc>
          <w:tcPr>
            <w:tcW w:w="70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Illinois</w:t>
            </w:r>
          </w:p>
        </w:tc>
        <w:tc>
          <w:tcPr>
            <w:tcW w:w="2020" w:type="dxa"/>
            <w:vAlign w:val="bottom"/>
          </w:tcPr>
          <w:p>
            <w:pPr>
              <w:jc w:val="right"/>
              <w:ind w:right="697"/>
              <w:spacing w:after="0"/>
              <w:rPr>
                <w:sz w:val="20"/>
                <w:szCs w:val="20"/>
                <w:color w:val="auto"/>
              </w:rPr>
            </w:pPr>
            <w:r>
              <w:rPr>
                <w:rFonts w:ascii="Times New Roman" w:cs="Times New Roman" w:eastAsia="Times New Roman" w:hAnsi="Times New Roman"/>
                <w:sz w:val="13"/>
                <w:szCs w:val="13"/>
                <w:b w:val="1"/>
                <w:bCs w:val="1"/>
                <w:color w:val="auto"/>
              </w:rPr>
              <w:t>60606</w:t>
            </w:r>
          </w:p>
        </w:tc>
        <w:tc>
          <w:tcPr>
            <w:tcW w:w="0" w:type="dxa"/>
            <w:vAlign w:val="bottom"/>
          </w:tcPr>
          <w:p>
            <w:pPr>
              <w:spacing w:after="0"/>
              <w:rPr>
                <w:sz w:val="1"/>
                <w:szCs w:val="1"/>
                <w:color w:val="auto"/>
              </w:rPr>
            </w:pPr>
          </w:p>
        </w:tc>
      </w:tr>
      <w:tr>
        <w:trPr>
          <w:trHeight w:val="167"/>
        </w:trPr>
        <w:tc>
          <w:tcPr>
            <w:tcW w:w="2060" w:type="dxa"/>
            <w:vAlign w:val="bottom"/>
          </w:tcPr>
          <w:p>
            <w:pPr>
              <w:jc w:val="center"/>
              <w:ind w:right="58"/>
              <w:spacing w:after="0"/>
              <w:rPr>
                <w:sz w:val="20"/>
                <w:szCs w:val="20"/>
                <w:color w:val="auto"/>
              </w:rPr>
            </w:pPr>
            <w:r>
              <w:rPr>
                <w:rFonts w:ascii="Times New Roman" w:cs="Times New Roman" w:eastAsia="Times New Roman" w:hAnsi="Times New Roman"/>
                <w:sz w:val="12"/>
                <w:szCs w:val="12"/>
                <w:color w:val="auto"/>
                <w:w w:val="98"/>
              </w:rPr>
              <w:t>(Address of Principal Executive Offices)</w:t>
            </w: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20" w:type="dxa"/>
            <w:vAlign w:val="bottom"/>
          </w:tcPr>
          <w:p>
            <w:pPr>
              <w:jc w:val="center"/>
              <w:ind w:left="97"/>
              <w:spacing w:after="0"/>
              <w:rPr>
                <w:sz w:val="20"/>
                <w:szCs w:val="20"/>
                <w:color w:val="auto"/>
              </w:rPr>
            </w:pPr>
            <w:r>
              <w:rPr>
                <w:rFonts w:ascii="Times New Roman" w:cs="Times New Roman" w:eastAsia="Times New Roman" w:hAnsi="Times New Roman"/>
                <w:sz w:val="12"/>
                <w:szCs w:val="12"/>
                <w:color w:val="auto"/>
              </w:rPr>
              <w:t>(Zip Code)</w:t>
            </w:r>
          </w:p>
        </w:tc>
        <w:tc>
          <w:tcPr>
            <w:tcW w:w="0" w:type="dxa"/>
            <w:vAlign w:val="bottom"/>
          </w:tcPr>
          <w:p>
            <w:pPr>
              <w:spacing w:after="0"/>
              <w:rPr>
                <w:sz w:val="1"/>
                <w:szCs w:val="1"/>
                <w:color w:val="auto"/>
              </w:rPr>
            </w:pPr>
          </w:p>
        </w:tc>
      </w:tr>
    </w:tbl>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(312) 279-1400</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(Registrant's telephone number, including area code)</w:t>
      </w:r>
    </w:p>
    <w:p>
      <w:pPr>
        <w:spacing w:after="0" w:line="1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1"/>
          <w:szCs w:val="11"/>
          <w:color w:val="auto"/>
        </w:rPr>
        <w:t>Check the appropriate box below if the Form 8-K filing is intended to simultaneously satisfy the filing obligation of the registrant under any of the following provisions (see General Instruction A.2. below):</w:t>
      </w:r>
    </w:p>
    <w:p>
      <w:pPr>
        <w:spacing w:after="0" w:line="63" w:lineRule="exact"/>
        <w:rPr>
          <w:sz w:val="24"/>
          <w:szCs w:val="24"/>
          <w:color w:val="auto"/>
        </w:rPr>
      </w:pPr>
    </w:p>
    <w:p>
      <w:pPr>
        <w:ind w:left="260" w:hanging="256"/>
        <w:spacing w:after="0"/>
        <w:tabs>
          <w:tab w:leader="none" w:pos="2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69" w:lineRule="exact"/>
        <w:rPr>
          <w:rFonts w:ascii="MS PGothic" w:cs="MS PGothic" w:eastAsia="MS PGothic" w:hAnsi="MS PGothic"/>
          <w:sz w:val="12"/>
          <w:szCs w:val="12"/>
          <w:color w:val="auto"/>
        </w:rPr>
      </w:pPr>
    </w:p>
    <w:p>
      <w:pPr>
        <w:ind w:left="260" w:hanging="256"/>
        <w:spacing w:after="0"/>
        <w:tabs>
          <w:tab w:leader="none" w:pos="2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69" w:lineRule="exact"/>
        <w:rPr>
          <w:rFonts w:ascii="MS PGothic" w:cs="MS PGothic" w:eastAsia="MS PGothic" w:hAnsi="MS PGothic"/>
          <w:sz w:val="12"/>
          <w:szCs w:val="12"/>
          <w:color w:val="auto"/>
        </w:rPr>
      </w:pPr>
    </w:p>
    <w:p>
      <w:pPr>
        <w:ind w:left="260" w:hanging="256"/>
        <w:spacing w:after="0"/>
        <w:tabs>
          <w:tab w:leader="none" w:pos="2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69" w:lineRule="exact"/>
        <w:rPr>
          <w:rFonts w:ascii="MS PGothic" w:cs="MS PGothic" w:eastAsia="MS PGothic" w:hAnsi="MS PGothic"/>
          <w:sz w:val="12"/>
          <w:szCs w:val="12"/>
          <w:color w:val="auto"/>
        </w:rPr>
      </w:pPr>
    </w:p>
    <w:p>
      <w:pPr>
        <w:ind w:left="260" w:hanging="256"/>
        <w:spacing w:after="0"/>
        <w:tabs>
          <w:tab w:leader="none" w:pos="2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p>
      <w:pPr>
        <w:sectPr>
          <w:pgSz w:w="11900" w:h="16838" w:orient="portrait"/>
          <w:cols w:equalWidth="0" w:num="1">
            <w:col w:w="11280"/>
          </w:cols>
          <w:pgMar w:left="300" w:top="882" w:right="319" w:bottom="1440" w:gutter="0" w:footer="0" w:header="0"/>
        </w:sectPr>
      </w:pPr>
    </w:p>
    <w:p>
      <w:pPr>
        <w:spacing w:after="0" w:line="159"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2"/>
          <w:szCs w:val="12"/>
          <w:color w:val="auto"/>
        </w:rPr>
        <w:t>Title of each class</w:t>
      </w:r>
    </w:p>
    <w:p>
      <w:pPr>
        <w:spacing w:after="0" w:line="17"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1"/>
          <w:szCs w:val="11"/>
          <w:b w:val="1"/>
          <w:bCs w:val="1"/>
          <w:color w:val="auto"/>
        </w:rPr>
        <w:t>Common Stock, $0.01 Par Value</w:t>
      </w:r>
    </w:p>
    <w:p>
      <w:pPr>
        <w:spacing w:after="0" w:line="20" w:lineRule="exact"/>
        <w:rPr>
          <w:sz w:val="24"/>
          <w:szCs w:val="24"/>
          <w:color w:val="auto"/>
        </w:rPr>
      </w:pPr>
      <w:r>
        <w:rPr>
          <w:sz w:val="24"/>
          <w:szCs w:val="24"/>
          <w:color w:val="auto"/>
        </w:rPr>
        <w:br w:type="column"/>
      </w:r>
    </w:p>
    <w:p>
      <w:pPr>
        <w:spacing w:after="0" w:line="139"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11"/>
          <w:szCs w:val="11"/>
          <w:color w:val="auto"/>
        </w:rPr>
        <w:t>Trading Symbol(s)</w:t>
      </w:r>
    </w:p>
    <w:p>
      <w:pPr>
        <w:spacing w:after="0" w:line="28"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12"/>
          <w:szCs w:val="12"/>
          <w:b w:val="1"/>
          <w:bCs w:val="1"/>
          <w:color w:val="auto"/>
        </w:rPr>
        <w:t>ELS</w:t>
      </w:r>
    </w:p>
    <w:p>
      <w:pPr>
        <w:spacing w:after="0" w:line="20" w:lineRule="exact"/>
        <w:rPr>
          <w:sz w:val="24"/>
          <w:szCs w:val="24"/>
          <w:color w:val="auto"/>
        </w:rPr>
      </w:pPr>
      <w:r>
        <w:rPr>
          <w:sz w:val="24"/>
          <w:szCs w:val="24"/>
          <w:color w:val="auto"/>
        </w:rPr>
        <w:br w:type="column"/>
      </w:r>
    </w:p>
    <w:p>
      <w:pPr>
        <w:spacing w:after="0" w:line="139"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1"/>
          <w:szCs w:val="11"/>
          <w:color w:val="auto"/>
        </w:rPr>
        <w:t>Name of each exchange on which registered</w:t>
      </w:r>
    </w:p>
    <w:p>
      <w:pPr>
        <w:spacing w:after="0" w:line="28"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New York Stock Exchange</w:t>
      </w:r>
    </w:p>
    <w:p>
      <w:pPr>
        <w:spacing w:after="0" w:line="200" w:lineRule="exact"/>
        <w:rPr>
          <w:sz w:val="24"/>
          <w:szCs w:val="24"/>
          <w:color w:val="auto"/>
        </w:rPr>
      </w:pPr>
    </w:p>
    <w:p>
      <w:pPr>
        <w:sectPr>
          <w:pgSz w:w="11900" w:h="16838" w:orient="portrait"/>
          <w:cols w:equalWidth="0" w:num="3">
            <w:col w:w="4020" w:space="720"/>
            <w:col w:w="2560" w:space="720"/>
            <w:col w:w="3260"/>
          </w:cols>
          <w:pgMar w:left="300" w:top="882" w:right="319" w:bottom="1440" w:gutter="0" w:footer="0" w:header="0"/>
          <w:type w:val="continuous"/>
        </w:sectPr>
      </w:pPr>
    </w:p>
    <w:p>
      <w:pPr>
        <w:spacing w:after="0" w:line="29" w:lineRule="exact"/>
        <w:rPr>
          <w:sz w:val="24"/>
          <w:szCs w:val="24"/>
          <w:color w:val="auto"/>
        </w:rPr>
      </w:pPr>
    </w:p>
    <w:p>
      <w:pPr>
        <w:ind w:firstLine="459"/>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6" w:lineRule="exact"/>
        <w:rPr>
          <w:sz w:val="24"/>
          <w:szCs w:val="24"/>
          <w:color w:val="auto"/>
        </w:rPr>
      </w:pPr>
    </w:p>
    <w:p>
      <w:pPr>
        <w:ind w:left="460"/>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0"/>
          <w:szCs w:val="10"/>
          <w:color w:val="auto"/>
          <w:highlight w:val="black"/>
        </w:rPr>
        <w:t>☐</w:t>
      </w:r>
    </w:p>
    <w:p>
      <w:pPr>
        <w:spacing w:after="0" w:line="181" w:lineRule="exact"/>
        <w:rPr>
          <w:sz w:val="24"/>
          <w:szCs w:val="24"/>
          <w:color w:val="auto"/>
        </w:rPr>
      </w:pPr>
    </w:p>
    <w:p>
      <w:pPr>
        <w:ind w:right="20" w:firstLine="486"/>
        <w:spacing w:after="0" w:line="156"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562610</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1640840</wp:posOffset>
            </wp:positionH>
            <wp:positionV relativeFrom="paragraph">
              <wp:posOffset>152400</wp:posOffset>
            </wp:positionV>
            <wp:extent cx="3886200" cy="11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886200" cy="11430"/>
                    </a:xfrm>
                    <a:prstGeom prst="rect">
                      <a:avLst/>
                    </a:prstGeom>
                    <a:noFill/>
                  </pic:spPr>
                </pic:pic>
              </a:graphicData>
            </a:graphic>
          </wp:anchor>
        </w:drawing>
        <w:drawing>
          <wp:anchor simplePos="0" relativeHeight="251657728" behindDoc="1" locked="0" layoutInCell="0" allowOverlap="1">
            <wp:simplePos x="0" y="0"/>
            <wp:positionH relativeFrom="column">
              <wp:posOffset>1640840</wp:posOffset>
            </wp:positionH>
            <wp:positionV relativeFrom="paragraph">
              <wp:posOffset>106680</wp:posOffset>
            </wp:positionV>
            <wp:extent cx="3886200" cy="114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886200" cy="11430"/>
                    </a:xfrm>
                    <a:prstGeom prst="rect">
                      <a:avLst/>
                    </a:prstGeom>
                    <a:noFill/>
                  </pic:spPr>
                </pic:pic>
              </a:graphicData>
            </a:graphic>
          </wp:anchor>
        </w:drawing>
      </w:r>
    </w:p>
    <w:p>
      <w:pPr>
        <w:sectPr>
          <w:pgSz w:w="11900" w:h="16838" w:orient="portrait"/>
          <w:cols w:equalWidth="0" w:num="1">
            <w:col w:w="11280"/>
          </w:cols>
          <w:pgMar w:left="300" w:top="882" w:right="319" w:bottom="1440" w:gutter="0" w:footer="0" w:header="0"/>
          <w:type w:val="continuous"/>
        </w:sectPr>
      </w:pPr>
    </w:p>
    <w:bookmarkStart w:id="1" w:name="page2"/>
    <w:bookmarkEnd w:id="1"/>
    <w:p>
      <w:pPr>
        <w:spacing w:after="0"/>
        <w:tabs>
          <w:tab w:leader="none" w:pos="580"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1"/>
          <w:szCs w:val="11"/>
          <w:b w:val="1"/>
          <w:bCs w:val="1"/>
          <w:color w:val="auto"/>
        </w:rPr>
        <w:t>Regulation FD Disclosure</w:t>
      </w:r>
    </w:p>
    <w:p>
      <w:pPr>
        <w:spacing w:after="0" w:line="163" w:lineRule="exact"/>
        <w:rPr>
          <w:sz w:val="20"/>
          <w:szCs w:val="20"/>
          <w:color w:val="auto"/>
        </w:rPr>
      </w:pPr>
    </w:p>
    <w:p>
      <w:pPr>
        <w:jc w:val="both"/>
        <w:ind w:firstLine="432"/>
        <w:spacing w:after="0" w:line="264" w:lineRule="auto"/>
        <w:rPr>
          <w:sz w:val="20"/>
          <w:szCs w:val="20"/>
          <w:color w:val="auto"/>
        </w:rPr>
      </w:pPr>
      <w:r>
        <w:rPr>
          <w:rFonts w:ascii="Times New Roman" w:cs="Times New Roman" w:eastAsia="Times New Roman" w:hAnsi="Times New Roman"/>
          <w:sz w:val="12"/>
          <w:szCs w:val="12"/>
          <w:color w:val="auto"/>
        </w:rPr>
        <w:t>Attached hereto as Exhibit 99.1 and incorporated herein by reference in, this report is an investor presentation of Equity LifeStyle Properties, Inc. (referred to herein as “we,” “us,” and “our”) that has been made available to investors beginning May 4, 2026. The presentation has been posted on our website, www.equitylifestyleproperties.com, on May 4, 2026.</w:t>
      </w:r>
    </w:p>
    <w:p>
      <w:pPr>
        <w:spacing w:after="0" w:line="128" w:lineRule="exact"/>
        <w:rPr>
          <w:sz w:val="20"/>
          <w:szCs w:val="20"/>
          <w:color w:val="auto"/>
        </w:rPr>
      </w:pPr>
    </w:p>
    <w:p>
      <w:pPr>
        <w:jc w:val="both"/>
        <w:ind w:firstLine="432"/>
        <w:spacing w:after="0" w:line="249" w:lineRule="auto"/>
        <w:rPr>
          <w:sz w:val="20"/>
          <w:szCs w:val="20"/>
          <w:color w:val="auto"/>
        </w:rPr>
      </w:pPr>
      <w:r>
        <w:rPr>
          <w:rFonts w:ascii="Times New Roman" w:cs="Times New Roman" w:eastAsia="Times New Roman" w:hAnsi="Times New Roman"/>
          <w:sz w:val="12"/>
          <w:szCs w:val="12"/>
          <w:color w:val="auto"/>
        </w:rPr>
        <w:t>In accordance with General Instruction B.2. of Form 8-K, the information included in Item 7.01 of this Current Report on Form 8-K, including Exhibit 99.1, shall not be deemed to be “filed” for purposes of Section 18 of the Securities Exchange Act of 1934, as amended, or otherwise subject to the liabilities of that Section, nor shall such information be deemed incorporated by reference in any registration statement filed by Equity Lifestyle Properties, Inc. under the Securities Act of 1933, as amended.</w:t>
      </w:r>
    </w:p>
    <w:p>
      <w:pPr>
        <w:spacing w:after="0" w:line="138" w:lineRule="exact"/>
        <w:rPr>
          <w:sz w:val="20"/>
          <w:szCs w:val="20"/>
          <w:color w:val="auto"/>
        </w:rPr>
      </w:pPr>
    </w:p>
    <w:p>
      <w:pPr>
        <w:jc w:val="both"/>
        <w:ind w:firstLine="432"/>
        <w:spacing w:after="0" w:line="236" w:lineRule="auto"/>
        <w:rPr>
          <w:sz w:val="20"/>
          <w:szCs w:val="20"/>
          <w:color w:val="auto"/>
        </w:rPr>
      </w:pPr>
      <w:r>
        <w:rPr>
          <w:rFonts w:ascii="Times New Roman" w:cs="Times New Roman" w:eastAsia="Times New Roman" w:hAnsi="Times New Roman"/>
          <w:sz w:val="12"/>
          <w:szCs w:val="12"/>
          <w:color w:val="auto"/>
        </w:rPr>
        <w:t>This report includes certain “forward-looking statements” within the meaning of the Private Securities Litigation Reform Act of 1995. When used, words such as “anticipate,” “expect,” “believe,” “project,” “intend,” “may be” and “will be” and similar words or phrases, or the negative thereof, unless the context requires otherwise, are intended to identify forward-looking statements and may include, without limitation, information regarding our expectations, goals or intentions regarding the future, and the expected effect of our acquisitions. Forward-looking statements, including our guidance concerning Net Income, FFO and Normalized FFO per share data, Dividend per share data, Core Property Operating Revenues, Core Property Operating Expenses, Excluding Property Management, Core Income from Property Operations, Excluding Property Management, by their nature, involve estimates, projections, goals, forecasts and assumptions and are subject to risks and uncertainties that could cause actual results or outcomes to differ materially from those expressed in a forward-looking statement due to a number of factors, which include, but are not limited to the following: (i) the mix of site usage within the portfolio; (ii) yield management on our short-term resort and marina sites; (iii) scheduled or implemented rate increases on community, resort and marina sites; (iv) scheduled or implemented rate increases in annual payments under membership subscriptions; (v) occupancy changes; (vi) our ability to attract and retain membership customers; (vii) change in customer demand regarding travel and outdoor vacation destinations; (viii) our ability to manage expenses in an inflationary environment, including the impact of changes in tariffs, as well as costs associated with supply chain disruptions; (ix) changes in debt service and interest rates; (x) our ability to integrate and operate recent acquisitions in accordance with our estimates; (xi) our ability to execute expansion/development opportunities in the face of changes impacting the supply chain or labor markets; (xii) completion of pending transactions in their entirety and on assumed schedule; (xiii) our ability to attract and retain property employees, particularly seasonal employees; (xiv) ongoing legal matters and related fees; (xv) costs to clean up and restore property operations and potential revenue losses following storms or other unplanned events; and (xvi) the potential impact of material weaknesses, if any, in our internal control over financial reporting.</w:t>
      </w:r>
    </w:p>
    <w:p>
      <w:pPr>
        <w:spacing w:after="0" w:line="145" w:lineRule="exact"/>
        <w:rPr>
          <w:sz w:val="20"/>
          <w:szCs w:val="20"/>
          <w:color w:val="auto"/>
        </w:rPr>
      </w:pPr>
    </w:p>
    <w:p>
      <w:pPr>
        <w:jc w:val="both"/>
        <w:ind w:right="20" w:firstLine="432"/>
        <w:spacing w:after="0" w:line="264" w:lineRule="auto"/>
        <w:rPr>
          <w:sz w:val="20"/>
          <w:szCs w:val="20"/>
          <w:color w:val="auto"/>
        </w:rPr>
      </w:pPr>
      <w:r>
        <w:rPr>
          <w:rFonts w:ascii="Times New Roman" w:cs="Times New Roman" w:eastAsia="Times New Roman" w:hAnsi="Times New Roman"/>
          <w:sz w:val="12"/>
          <w:szCs w:val="12"/>
          <w:color w:val="auto"/>
        </w:rPr>
        <w:t>For further information on these and other factors that could impact us and the statements contained herein, refer to our filings with the Securities and Exchange Commission, including the “Risk Factors” and “Forward-Looking Statements” sections in our most recent Annual Report on Form 10-K and any subsequent Quarterly Reports on Form 10-Q.</w:t>
      </w:r>
    </w:p>
    <w:p>
      <w:pPr>
        <w:spacing w:after="0" w:line="119"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These forward-looking statements are based on management’s present expectations and beliefs about future events. As with any projection or forecast, these statements are inherently susceptible to uncertainty and changes in circumstances. We are under no obligation to, and expressly disclaim any obligation to, update or alter our forward-looking statements whether as a result of such changes, new information, subsequent events or otherwise.</w:t>
      </w:r>
    </w:p>
    <w:p>
      <w:pPr>
        <w:spacing w:after="0" w:line="84"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We are a fully integrated owner of lifestyle-oriented properties and own or have an interest in 453 properties located predominantly in the United States consisting of 173,419 sites as of March 31, 2026. We are a self-administered, self-managed, real estate investment trust with headquarters in Chicago.</w:t>
      </w:r>
    </w:p>
    <w:p>
      <w:pPr>
        <w:spacing w:after="0" w:line="116"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(d) Exhibits</w:t>
      </w:r>
    </w:p>
    <w:p>
      <w:pPr>
        <w:spacing w:after="0" w:line="15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information contained in the attached exhibit is unaudited and should be read in conjunction with the Registrant’s annual and quarterly reports filed with the Securities and Exchange Commission.</w:t>
      </w:r>
    </w:p>
    <w:p>
      <w:pPr>
        <w:spacing w:after="0" w:line="33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 xml:space="preserve">99.1 </w:t>
      </w:r>
      <w:r>
        <w:rPr>
          <w:rFonts w:ascii="Times New Roman" w:cs="Times New Roman" w:eastAsia="Times New Roman" w:hAnsi="Times New Roman"/>
          <w:sz w:val="12"/>
          <w:szCs w:val="12"/>
          <w:u w:val="single" w:color="auto"/>
          <w:color w:val="0000FF"/>
        </w:rPr>
        <w:t>May 2026 Investor Presentation</w:t>
      </w:r>
    </w:p>
    <w:p>
      <w:pPr>
        <w:spacing w:after="0" w:line="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104 Cover Page Interactive Data File included as Exhibit 101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648335</wp:posOffset>
            </wp:positionV>
            <wp:extent cx="7203440"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37" w:right="299" w:bottom="1440" w:gutter="0" w:footer="0" w:header="0"/>
        </w:sectPr>
      </w:pPr>
    </w:p>
    <w:bookmarkStart w:id="2" w:name="page3"/>
    <w:bookmarkEnd w:id="2"/>
    <w:p>
      <w:pPr>
        <w:ind w:left="4840"/>
        <w:spacing w:after="0"/>
        <w:rPr>
          <w:sz w:val="20"/>
          <w:szCs w:val="20"/>
          <w:color w:val="auto"/>
        </w:rPr>
      </w:pPr>
      <w:r>
        <w:rPr>
          <w:rFonts w:ascii="Times New Roman" w:cs="Times New Roman" w:eastAsia="Times New Roman" w:hAnsi="Times New Roman"/>
          <w:sz w:val="13"/>
          <w:szCs w:val="13"/>
          <w:b w:val="1"/>
          <w:bCs w:val="1"/>
          <w:color w:val="auto"/>
        </w:rPr>
        <w:t>SIGNATURE</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Pursuant to the requirements of the Securities Exchange Act of 1934, the Registrant has duly caused this Report to be signed on its behalf by the undersigned thereunto duly authorized.</w:t>
      </w:r>
    </w:p>
    <w:p>
      <w:pPr>
        <w:spacing w:after="0" w:line="212"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2"/>
          <w:szCs w:val="12"/>
          <w:b w:val="1"/>
          <w:bCs w:val="1"/>
          <w:color w:val="auto"/>
        </w:rPr>
        <w:t>EQUITY LIFESTYLE PROPERTIES, INC.</w:t>
      </w:r>
    </w:p>
    <w:p>
      <w:pPr>
        <w:spacing w:after="0" w:line="21" w:lineRule="exact"/>
        <w:rPr>
          <w:sz w:val="20"/>
          <w:szCs w:val="20"/>
          <w:color w:val="auto"/>
        </w:rPr>
      </w:pPr>
    </w:p>
    <w:p>
      <w:pPr>
        <w:ind w:left="5020" w:right="3799" w:hanging="5390"/>
        <w:spacing w:after="0" w:line="298" w:lineRule="auto"/>
        <w:tabs>
          <w:tab w:leader="none" w:pos="5000" w:val="left"/>
        </w:tabs>
        <w:rPr>
          <w:sz w:val="20"/>
          <w:szCs w:val="20"/>
          <w:color w:val="auto"/>
        </w:rPr>
      </w:pPr>
      <w:r>
        <w:rPr>
          <w:rFonts w:ascii="Times New Roman" w:cs="Times New Roman" w:eastAsia="Times New Roman" w:hAnsi="Times New Roman"/>
          <w:sz w:val="12"/>
          <w:szCs w:val="12"/>
          <w:color w:val="auto"/>
        </w:rPr>
        <w:t>Date: May 4, 2026</w:t>
      </w:r>
      <w:r>
        <w:rPr>
          <w:sz w:val="20"/>
          <w:szCs w:val="20"/>
          <w:color w:val="auto"/>
        </w:rPr>
        <w:tab/>
      </w:r>
      <w:r>
        <w:rPr>
          <w:rFonts w:ascii="Times New Roman" w:cs="Times New Roman" w:eastAsia="Times New Roman" w:hAnsi="Times New Roman"/>
          <w:sz w:val="11"/>
          <w:szCs w:val="11"/>
          <w:color w:val="auto"/>
        </w:rPr>
        <w:t>By: /s/ Paul Seavey Paul Seavey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3174365</wp:posOffset>
            </wp:positionH>
            <wp:positionV relativeFrom="paragraph">
              <wp:posOffset>-101600</wp:posOffset>
            </wp:positionV>
            <wp:extent cx="3709035"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709035" cy="5715"/>
                    </a:xfrm>
                    <a:prstGeom prst="rect">
                      <a:avLst/>
                    </a:prstGeom>
                    <a:noFill/>
                  </pic:spPr>
                </pic:pic>
              </a:graphicData>
            </a:graphic>
          </wp:anchor>
        </w:drawing>
      </w:r>
    </w:p>
    <w:p>
      <w:pPr>
        <w:ind w:left="5020"/>
        <w:spacing w:after="0"/>
        <w:rPr>
          <w:sz w:val="20"/>
          <w:szCs w:val="20"/>
          <w:color w:val="auto"/>
        </w:rPr>
      </w:pPr>
      <w:r>
        <w:rPr>
          <w:rFonts w:ascii="Times New Roman" w:cs="Times New Roman" w:eastAsia="Times New Roman" w:hAnsi="Times New Roman"/>
          <w:sz w:val="12"/>
          <w:szCs w:val="12"/>
          <w:color w:val="auto"/>
        </w:rPr>
        <w:t>Executive Vice President and Chief Financial Officer</w:t>
      </w:r>
    </w:p>
    <w:p>
      <w:pPr>
        <w:sectPr>
          <w:pgSz w:w="11900" w:h="16838" w:orient="portrait"/>
          <w:cols w:equalWidth="0" w:num="1">
            <w:col w:w="9739"/>
          </w:cols>
          <w:pgMar w:left="720" w:top="672" w:right="1440"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2026-05-04T15:32:18Z</dcterms:created>
  <dcterms:modified xsi:type="dcterms:W3CDTF">2026-05-04T15:32:18Z</dcterms:modified>
</cp:coreProperties>
</file>