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 xml:space="preserve">Date of Report </w:t>
      </w:r>
      <w:r>
        <w:rPr>
          <w:rFonts w:ascii="Times New Roman;serif" w:hAnsi="Times New Roman;serif"/>
          <w:b/>
          <w:color w:val="000000"/>
          <w:sz w:val="20"/>
        </w:rPr>
        <w:t>(Date of earliest event reported): July 22,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EQUITY LIFESTYLE PROPERTIES,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532"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325"/>
        <w:gridCol w:w="325"/>
        <w:gridCol w:w="325"/>
        <w:gridCol w:w="319"/>
        <w:gridCol w:w="319"/>
        <w:gridCol w:w="336"/>
        <w:gridCol w:w="109"/>
        <w:gridCol w:w="109"/>
        <w:gridCol w:w="109"/>
        <w:gridCol w:w="953"/>
        <w:gridCol w:w="953"/>
        <w:gridCol w:w="1349"/>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1-11718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36-3857664</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Two North Riverside Plaza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Chicago,</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60606</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60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(312) 279-1400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190" w:type="dxa"/>
        <w:jc w:val="center"/>
        <w:tblInd w:w="0" w:type="dxa"/>
        <w:tblLayout w:type="fixed"/>
        <w:tblCellMar>
          <w:top w:w="28" w:type="dxa"/>
          <w:left w:w="28" w:type="dxa"/>
          <w:bottom w:w="28" w:type="dxa"/>
          <w:right w:w="28" w:type="dxa"/>
        </w:tblCellMar>
      </w:tblPr>
      <w:tblGrid>
        <w:gridCol w:w="1039"/>
        <w:gridCol w:w="913"/>
        <w:gridCol w:w="913"/>
        <w:gridCol w:w="540"/>
        <w:gridCol w:w="540"/>
        <w:gridCol w:w="540"/>
        <w:gridCol w:w="1085"/>
        <w:gridCol w:w="1085"/>
        <w:gridCol w:w="1535"/>
      </w:tblGrid>
      <w:tr>
        <w:trPr/>
        <w:tc>
          <w:tcPr>
            <w:tcW w:w="103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ind w:left="0" w:right="0" w:firstLine="765"/>
        <w:jc w:val="both"/>
        <w:rPr/>
      </w:pPr>
      <w:r>
        <w:rPr/>
      </w:r>
    </w:p>
    <w:p>
      <w:pPr>
        <w:pStyle w:val="TextBody"/>
        <w:bidi w:val="0"/>
        <w:spacing w:lineRule="auto" w:line="288" w:before="0" w:after="0"/>
        <w:ind w:left="0" w:right="0" w:firstLine="76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65"/>
        <w:jc w:val="both"/>
        <w:rPr/>
      </w:pPr>
      <w:r>
        <w:rPr/>
      </w:r>
    </w:p>
    <w:p>
      <w:pPr>
        <w:pStyle w:val="TextBody"/>
        <w:bidi w:val="0"/>
        <w:spacing w:lineRule="auto" w:line="288" w:before="0" w:after="0"/>
        <w:ind w:left="0" w:right="0" w:firstLine="765"/>
        <w:jc w:val="both"/>
        <w:rPr/>
      </w:pPr>
      <w:r>
        <w:rPr>
          <w:rFonts w:ascii="Times New Roman;serif" w:hAnsi="Times New Roman;serif"/>
          <w:b w:val="false"/>
          <w:color w:val="000000"/>
          <w:sz w:val="20"/>
        </w:rPr>
        <w:t>Emerging growth company</w:t>
      </w:r>
      <w:r>
        <w:rPr>
          <w:color w:val="000000"/>
        </w:rPr>
        <w:t xml:space="preserve">  ☐ </w:t>
      </w:r>
    </w:p>
    <w:p>
      <w:pPr>
        <w:pStyle w:val="TextBody"/>
        <w:bidi w:val="0"/>
        <w:spacing w:before="0" w:after="0"/>
        <w:jc w:val="left"/>
        <w:rPr/>
      </w:pPr>
      <w:r>
        <w:rPr/>
      </w:r>
    </w:p>
    <w:p>
      <w:pPr>
        <w:pStyle w:val="TextBody"/>
        <w:bidi w:val="0"/>
        <w:spacing w:lineRule="auto" w:line="288" w:before="0" w:after="0"/>
        <w:ind w:left="0" w:right="0" w:firstLine="81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before="0" w:after="0"/>
        <w:ind w:left="0" w:right="0" w:firstLine="81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left"/>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22, 2026, Equity LifeStyle Properties, Inc. (referred to herein as “we,” “us,” and “our”) issued a news release announcing our results of operations for the quarter and six months ended June 30, 2026 and our third quarter and full year 2026 earnings guidance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news release is furnished as Exhibit 99.1 to this report on Form 8-K. The news release was also posted on our website, www.equitylifestyleproperties.com, on July 22,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General Instruction B.2. of Form 8-K, the information included in Items 2.02 and 9.01 of this report on Form 8-K, including Exhibit 99.1, shall not be deemed to be “filed” for purposes of Section 18 of the Securities Exchange Act of 1934, as amended, or otherwise subject to the liabilities of that Section, nor shall such information be deemed incorporated by reference in any registration statement filed by us under the Securities Act of 1933, as amended. </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20"/>
        </w:rPr>
        <w:t>This report includes certain “forward-looking statements” within the meaning of the Private Securities Litigation Reform Act of 1995. When used, words such as “anticipate,” “expect,” “believe,” “project,” “estimate,” “guidance,” “intend,” “may be” and “will be” and similar words or phrases, or the negative thereof, unless the context requires otherwise, are intended to identify forward-looking statements and may include, without limitation, information regarding our expectations, goals or intentions regarding the future, and the expected effect of our acquisitions. Forward-looking statements, including our guidance concerning Net Income, FFO and Normalized FFO per share data, and certain growth rates, by their nature, involve estimates, projections, goals, forecasts and assumptions and are subject to risks and uncertainties that could cause actual results or outcomes to differ materially from those expressed in a forward-looking statement due to a number of factors, which include, but are not limited to the following: (i) the mix of site usage within the portfolio; (ii) yield management on our short-term resort and marina sites; (iii) scheduled or implemented rate increases on community, resort and marina sites; (iv) scheduled or implemented rate increases in annual payments under membership subscriptions; (v) occupancy changes; (vi) our ability to attract and retain membership customers; (vii) change in customer demand regarding travel and outdoor vacation destinations; (viii) our ability to manage expenses in an inflationary environment, including the impact of changes in tariffs, as well as costs associated with supply chain disruptions; (ix) changes in debt service and interest rates; (x) our ability to integrate and operate recent acquisitions in accordance with our estimates; (xi) our ability to execute expansion/development opportunities in the face of changes impacting the supply chain or labor markets; (xii) completion of pending transactions in their entirety and on assumed schedule; (xiii) our ability to attract and retain property employees, particularly seasonal employees; (xiv) ongoing legal matters and related fees; (xv) costs to clean up and restore property operations and potential revenue losses following storms or other unplanned events; and (xvi) the potential impact of material weaknesses, if any, in our internal control over financial reporting.</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20"/>
        </w:rPr>
        <w:t>For further information on these and other factors that could impact us and the statements contained herein, refer to our filings with the Securities and Exchange Commission, including the “Risk Factors” and “Forward-Looking Statements” sections in our most recent Annual Report on Form 10-K and any subsequent Quarterly Reports on Form 10-Q.</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These forward-looking statements are based on management’s present expectations and beliefs about future events. As with any projection or forecast, these statements are inherently susceptible to uncertainty and changes in circumstances. We are under no obligation to, and expressly disclaim any obligation to, update or alter our forward-looking statements whether as a result of such changes, new information, subsequent events or otherwise.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We are a fully integrated owner of lifestyle-oriented properties and own or have an interest in 453 properties located predominantly in the United States consisting of 173,559 sites as of June 30, 2026. We are a self-administered, self-managed, real estate investment trust with headquarters in Chicago.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attached exhibit is unaudited and should be read in conjunction with the Registrant’s annual and quarterly reports filed with the Securities and Exchange Commission.</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hanging="1440"/>
        <w:jc w:val="left"/>
        <w:rPr/>
      </w:pPr>
      <w:r>
        <w:rPr>
          <w:rFonts w:ascii="Times New Roman;serif" w:hAnsi="Times New Roman;serif"/>
          <w:b w:val="false"/>
          <w:color w:val="000000"/>
          <w:sz w:val="20"/>
        </w:rPr>
        <w:t xml:space="preserve">99.1 </w:t>
      </w:r>
      <w:hyperlink w:anchor="elsex9912q26.htm">
        <w:r>
          <w:rPr>
            <w:rStyle w:val="InternetLink"/>
            <w:rFonts w:ascii="Times New Roman;serif" w:hAnsi="Times New Roman;serif"/>
            <w:b w:val="false"/>
            <w:color w:val="0000FF"/>
            <w:sz w:val="20"/>
            <w:u w:val="single"/>
          </w:rPr>
          <w:t>Equity LifeStyle Properties, Inc. press release dated July 22, 2026, “ELS Reports Second Quarter Results”</w:t>
        </w:r>
      </w:hyperlink>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104 Cover Page Interactive Data File included as Exhibit 101 (embedded within the Inline XBRL document)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417" w:before="6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476" w:type="dxa"/>
        <w:jc w:val="center"/>
        <w:tblInd w:w="0" w:type="dxa"/>
        <w:tblLayout w:type="fixed"/>
        <w:tblCellMar>
          <w:top w:w="28" w:type="dxa"/>
          <w:left w:w="28" w:type="dxa"/>
          <w:bottom w:w="28" w:type="dxa"/>
          <w:right w:w="28" w:type="dxa"/>
        </w:tblCellMar>
      </w:tblPr>
      <w:tblGrid>
        <w:gridCol w:w="618"/>
        <w:gridCol w:w="544"/>
        <w:gridCol w:w="547"/>
        <w:gridCol w:w="109"/>
        <w:gridCol w:w="109"/>
        <w:gridCol w:w="109"/>
        <w:gridCol w:w="1300"/>
        <w:gridCol w:w="1300"/>
        <w:gridCol w:w="184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LIFESTYLE PROPERTIES, INC.</w:t>
            </w:r>
          </w:p>
        </w:tc>
      </w:tr>
      <w:tr>
        <w:trPr/>
        <w:tc>
          <w:tcPr>
            <w:tcW w:w="170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Paul Seavey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Seavey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808080"/>
          <w:sz w:val="36"/>
        </w:rPr>
        <w:t xml:space="preserve">N </w:t>
      </w:r>
      <w:r>
        <w:rPr>
          <w:rFonts w:ascii="Times New Roman;serif" w:hAnsi="Times New Roman;serif"/>
          <w:b/>
          <w:color w:val="808080"/>
          <w:sz w:val="28"/>
        </w:rPr>
        <w:t>E W S</w:t>
      </w:r>
      <w:r>
        <w:rPr>
          <w:color w:val="808080"/>
        </w:rPr>
        <w:t xml:space="preserve"> </w:t>
      </w:r>
      <w:r>
        <w:rPr>
          <w:rFonts w:ascii="Times New Roman;serif" w:hAnsi="Times New Roman;serif"/>
          <w:b/>
          <w:color w:val="808080"/>
          <w:sz w:val="36"/>
        </w:rPr>
        <w:t xml:space="preserve">R </w:t>
      </w:r>
      <w:r>
        <w:rPr>
          <w:rFonts w:ascii="Times New Roman;serif" w:hAnsi="Times New Roman;serif"/>
          <w:b/>
          <w:color w:val="808080"/>
          <w:sz w:val="28"/>
        </w:rPr>
        <w:t xml:space="preserve">E L E A S E </w:t>
      </w:r>
    </w:p>
    <w:tbl>
      <w:tblPr>
        <w:tblW w:w="5399" w:type="dxa"/>
        <w:jc w:val="center"/>
        <w:tblInd w:w="0" w:type="dxa"/>
        <w:tblLayout w:type="fixed"/>
        <w:tblCellMar>
          <w:top w:w="28" w:type="dxa"/>
          <w:left w:w="28" w:type="dxa"/>
          <w:bottom w:w="28" w:type="dxa"/>
          <w:right w:w="28" w:type="dxa"/>
        </w:tblCellMar>
      </w:tblPr>
      <w:tblGrid>
        <w:gridCol w:w="886"/>
        <w:gridCol w:w="778"/>
        <w:gridCol w:w="780"/>
        <w:gridCol w:w="864"/>
        <w:gridCol w:w="864"/>
        <w:gridCol w:w="1227"/>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76350" cy="542925"/>
                          </a:xfrm>
                          <a:prstGeom prst="rect">
                            <a:avLst/>
                          </a:prstGeom>
                        </pic:spPr>
                      </pic:pic>
                    </a:graphicData>
                  </a:graphic>
                </wp:inline>
              </w:drawing>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CONTACT: Paul Seavey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FOR IMMEDIATE RELEASE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(800) 247-5279</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22, 2026</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u w:val="single"/>
        </w:rPr>
      </w:pPr>
      <w:r>
        <w:rPr>
          <w:rFonts w:ascii="Times New Roman;serif" w:hAnsi="Times New Roman;serif"/>
          <w:b/>
          <w:color w:val="000000"/>
          <w:sz w:val="28"/>
          <w:u w:val="single"/>
        </w:rPr>
        <w:t>ELS REPORTS SECOND QUARTER RESULTS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Continued Strong Performance</w:t>
      </w:r>
    </w:p>
    <w:p>
      <w:pPr>
        <w:pStyle w:val="TextBody"/>
        <w:bidi w:val="0"/>
        <w:spacing w:before="0" w:after="0"/>
        <w:jc w:val="center"/>
        <w:rPr/>
      </w:pPr>
      <w:r>
        <w:rPr/>
      </w:r>
    </w:p>
    <w:p>
      <w:pPr>
        <w:pStyle w:val="TextBody"/>
        <w:bidi w:val="0"/>
        <w:spacing w:lineRule="auto" w:line="288" w:before="0" w:after="120"/>
        <w:ind w:left="0" w:right="0" w:firstLine="720"/>
        <w:jc w:val="both"/>
        <w:rPr/>
      </w:pPr>
      <w:r>
        <w:rPr>
          <w:rFonts w:ascii="Times New Roman;serif" w:hAnsi="Times New Roman;serif"/>
          <w:b/>
          <w:color w:val="000000"/>
          <w:sz w:val="22"/>
        </w:rPr>
        <w:t xml:space="preserve">CHICAGO, IL – </w:t>
      </w:r>
      <w:r>
        <w:rPr>
          <w:rFonts w:ascii="Times New Roman;serif" w:hAnsi="Times New Roman;serif"/>
          <w:b w:val="false"/>
          <w:color w:val="000000"/>
          <w:sz w:val="22"/>
        </w:rPr>
        <w:t>July 22, 2026</w:t>
      </w:r>
      <w:r>
        <w:rPr>
          <w:color w:val="000000"/>
        </w:rPr>
        <w:t xml:space="preserve"> – </w:t>
      </w:r>
      <w:r>
        <w:rPr>
          <w:rFonts w:ascii="Times New Roman;serif" w:hAnsi="Times New Roman;serif"/>
          <w:b w:val="false"/>
          <w:color w:val="000000"/>
          <w:sz w:val="22"/>
        </w:rPr>
        <w:t>Equity LifeStyle Properties, Inc. (NYSE: ELS) (referred to herein as “we,” “us,” and “our”) today announced results for the quarter and six months ended June 30, 2026. All per share results are reported on a fully diluted basis unless otherwise noted.</w:t>
      </w:r>
    </w:p>
    <w:tbl>
      <w:tblPr>
        <w:tblW w:w="10205" w:type="dxa"/>
        <w:jc w:val="left"/>
        <w:tblInd w:w="0" w:type="dxa"/>
        <w:tblLayout w:type="fixed"/>
        <w:tblCellMar>
          <w:top w:w="28" w:type="dxa"/>
          <w:left w:w="28" w:type="dxa"/>
          <w:bottom w:w="28" w:type="dxa"/>
          <w:right w:w="28" w:type="dxa"/>
        </w:tblCellMar>
      </w:tblPr>
      <w:tblGrid>
        <w:gridCol w:w="2058"/>
        <w:gridCol w:w="1804"/>
        <w:gridCol w:w="1813"/>
        <w:gridCol w:w="258"/>
        <w:gridCol w:w="231"/>
        <w:gridCol w:w="235"/>
        <w:gridCol w:w="109"/>
        <w:gridCol w:w="109"/>
        <w:gridCol w:w="109"/>
        <w:gridCol w:w="258"/>
        <w:gridCol w:w="231"/>
        <w:gridCol w:w="235"/>
        <w:gridCol w:w="109"/>
        <w:gridCol w:w="109"/>
        <w:gridCol w:w="109"/>
        <w:gridCol w:w="443"/>
        <w:gridCol w:w="231"/>
        <w:gridCol w:w="235"/>
        <w:gridCol w:w="109"/>
        <w:gridCol w:w="109"/>
        <w:gridCol w:w="109"/>
        <w:gridCol w:w="348"/>
        <w:gridCol w:w="348"/>
        <w:gridCol w:w="496"/>
      </w:tblGrid>
      <w:tr>
        <w:trPr/>
        <w:tc>
          <w:tcPr>
            <w:tcW w:w="205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FINANCIAL RESULTS</w:t>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6D6D6D"/>
                <w:sz w:val="18"/>
              </w:rPr>
            </w:pPr>
            <w:r>
              <w:rPr>
                <w:rFonts w:ascii="Times New Roman;serif" w:hAnsi="Times New Roman;serif"/>
                <w:b/>
                <w:i/>
                <w:color w:val="6D6D6D"/>
                <w:sz w:val="18"/>
              </w:rPr>
              <w:t>($ in millions, except per share data)</w:t>
            </w:r>
          </w:p>
        </w:tc>
        <w:tc>
          <w:tcPr>
            <w:tcW w:w="45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Quarters Ended June 30,</w:t>
            </w:r>
          </w:p>
        </w:tc>
      </w:tr>
      <w:tr>
        <w:trPr/>
        <w:tc>
          <w:tcPr>
            <w:tcW w:w="5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 Change </w:t>
            </w:r>
            <w:r>
              <w:rPr>
                <w:rFonts w:ascii="Times New Roman;serif" w:hAnsi="Times New Roman;serif"/>
                <w:b/>
                <w:color w:val="000000"/>
                <w:sz w:val="13"/>
              </w:rPr>
              <w:t>(1)</w:t>
            </w:r>
          </w:p>
        </w:tc>
      </w:tr>
      <w:tr>
        <w:trPr/>
        <w:tc>
          <w:tcPr>
            <w:tcW w:w="5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2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r>
      <w:tr>
        <w:trPr/>
        <w:tc>
          <w:tcPr>
            <w:tcW w:w="5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 (“FFO”) per Common Share and OP Unit</w:t>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r>
      <w:tr>
        <w:trPr/>
        <w:tc>
          <w:tcPr>
            <w:tcW w:w="5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Normalized Funds from Operations (“Normalized FFO”) per Common Share and OP Unit</w:t>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5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 Change </w:t>
            </w:r>
            <w:r>
              <w:rPr>
                <w:rFonts w:ascii="Times New Roman;serif" w:hAnsi="Times New Roman;serif"/>
                <w:b/>
                <w:color w:val="000000"/>
                <w:sz w:val="13"/>
              </w:rPr>
              <w:t>(1)</w:t>
            </w:r>
          </w:p>
        </w:tc>
      </w:tr>
      <w:tr>
        <w:trPr/>
        <w:tc>
          <w:tcPr>
            <w:tcW w:w="5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2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5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per Common Share and OP Unit</w:t>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5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Normalized FFO per Common Share and OP Unit</w:t>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_____________________</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1.Calculations prepared using actual results without rounding.</w:t>
      </w:r>
    </w:p>
    <w:p>
      <w:pPr>
        <w:pStyle w:val="TextBody"/>
        <w:bidi w:val="0"/>
        <w:spacing w:lineRule="auto" w:line="288" w:before="240" w:after="120"/>
        <w:ind w:left="0" w:right="0" w:hanging="360"/>
        <w:jc w:val="both"/>
        <w:rPr>
          <w:rFonts w:ascii="Times New Roman;serif" w:hAnsi="Times New Roman;serif"/>
          <w:b/>
          <w:color w:val="000000"/>
          <w:sz w:val="22"/>
        </w:rPr>
      </w:pPr>
      <w:r>
        <w:rPr>
          <w:rFonts w:ascii="Times New Roman;serif" w:hAnsi="Times New Roman;serif"/>
          <w:b/>
          <w:color w:val="000000"/>
          <w:sz w:val="22"/>
        </w:rPr>
        <w:t>Operations Update</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Normalized FFO per Common Share and OP Unit for the quarter ended June 30, 2026 was $0.74, representing a 7.7% increase compared to the same period in 2025, performing above the midpoint of our previous guidance range of $0.69 to $0.75. Core Portfolio operations for the quarter ended June 30, 2026 generated 6.5% growth in income from property operations, excluding property management. These results reflect outperformance of our guidance for Core property operating revenues, Core property operating expenses, excluding property management, and Core income from property operations, excluding property management. Normalized FFO for the six months ended June 30, 2026 was $1.58 per Common Share and OP Unit, representing a 3.6% increase compared to the same period in 2025. For the six months ended June 30, 2026, Core property operating revenues increased 4.3%, Core property operating expenses, excluding property management, increased 2.3% and Core income from property operations, excluding property management, increased 5.7%, each as compared to the same period in 2025.</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MH</w:t>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Core MH base rental income for the quarter ended June 30, 2026 increased 5.8% compared to the same period in 2025. Occupied sites increased by 13 sites and new and used home sales totaled 235 during the quarter ended June 30, 2026. Core MH base rental income for the six months ended June 30, 2026 increased 5.7% compared to the same period in 2025. Occupied sites increased by 67 sites and new and used home sales totaled 463 during the six months ended June 30, 2026.</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28650"/>
                <wp:effectExtent l="0" t="0" r="0" b="0"/>
                <wp:wrapNone/>
                <wp:docPr id="5" name="Frame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 xml:space="preserve">i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 xml:space="preserve">i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RV and Marina</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Core RV and marina base rental income for the quarter ended June 30, 2026 increased 1.8% compared to the same period in 2025. Core RV and marina annual base rental income increased 5.4% for the quarter ended June 30, 2026 compared to the same period in 2025. Core RV and marina base rental income for the six months ended June 30, 2026 increased 0.1% compared to the same period in 2025. Core RV and marina annual base rental income increased 4.8% for the six months ended June 30, 2026 compared to the same period in 2025.</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Property Operating Expenses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Core property operating expenses, excluding property management, for the quarter ended June 30, 2026 increased 2.9% compared to the same period in 2025. For the six months ended June 30, 2026, Core property operating expenses, excluding property management, increased 2.3% compared to the same period in 2025. </w:t>
      </w:r>
    </w:p>
    <w:p>
      <w:pPr>
        <w:pStyle w:val="TextBody"/>
        <w:bidi w:val="0"/>
        <w:spacing w:before="240" w:after="120"/>
        <w:ind w:left="0" w:right="0" w:firstLine="7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28650"/>
                <wp:effectExtent l="0" t="0" r="0" b="0"/>
                <wp:wrapNone/>
                <wp:docPr id="6" name="Frame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 xml:space="preserve">ii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 xml:space="preserve">ii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ind w:left="0" w:right="0" w:hanging="270"/>
        <w:jc w:val="both"/>
        <w:rPr>
          <w:rFonts w:ascii="Times New Roman;serif" w:hAnsi="Times New Roman;serif"/>
          <w:b/>
          <w:color w:val="000000"/>
          <w:sz w:val="22"/>
        </w:rPr>
      </w:pPr>
      <w:r>
        <w:rPr>
          <w:rFonts w:ascii="Times New Roman;serif" w:hAnsi="Times New Roman;serif"/>
          <w:b/>
          <w:color w:val="000000"/>
          <w:sz w:val="22"/>
        </w:rPr>
        <w:t>Guidance Update</w:t>
      </w:r>
    </w:p>
    <w:p>
      <w:pPr>
        <w:pStyle w:val="TextBody"/>
        <w:bidi w:val="0"/>
        <w:spacing w:lineRule="auto" w:line="288" w:before="180" w:after="120"/>
        <w:jc w:val="both"/>
        <w:rPr>
          <w:rFonts w:ascii="Times New Roman;serif" w:hAnsi="Times New Roman;serif"/>
          <w:b w:val="false"/>
          <w:color w:val="000000"/>
          <w:sz w:val="16"/>
        </w:rPr>
      </w:pPr>
      <w:r>
        <w:rPr>
          <w:rFonts w:ascii="Times New Roman;serif" w:hAnsi="Times New Roman;serif"/>
          <w:b w:val="false"/>
          <w:color w:val="000000"/>
          <w:sz w:val="16"/>
        </w:rPr>
        <w:t xml:space="preserve">Third quarter and full year 2026 guidance presented below represent management’s estimate of a range of possible outcomes. The midpoint of the ranges reflect management’s estimate of the most likely outcome based on our current view of existing market conditions and assumptions. Actual results could vary materially from management’s estimate if any of our assumptions are incorrect. See Forward-Looking Statements in this press release for factors impacting our 2026 guidance assumptions. See Non-GAAP Financial Measures Definitions and Reconciliations at the end of the Supplemental Financial Information for additional information. </w:t>
      </w:r>
    </w:p>
    <w:tbl>
      <w:tblPr>
        <w:tblW w:w="10205" w:type="dxa"/>
        <w:jc w:val="left"/>
        <w:tblInd w:w="0" w:type="dxa"/>
        <w:tblLayout w:type="fixed"/>
        <w:tblCellMar>
          <w:top w:w="28" w:type="dxa"/>
          <w:left w:w="28" w:type="dxa"/>
          <w:bottom w:w="28" w:type="dxa"/>
          <w:right w:w="28" w:type="dxa"/>
        </w:tblCellMar>
      </w:tblPr>
      <w:tblGrid>
        <w:gridCol w:w="1809"/>
        <w:gridCol w:w="1432"/>
        <w:gridCol w:w="1437"/>
        <w:gridCol w:w="271"/>
        <w:gridCol w:w="792"/>
        <w:gridCol w:w="139"/>
        <w:gridCol w:w="109"/>
        <w:gridCol w:w="109"/>
        <w:gridCol w:w="109"/>
        <w:gridCol w:w="211"/>
        <w:gridCol w:w="766"/>
        <w:gridCol w:w="109"/>
        <w:gridCol w:w="109"/>
        <w:gridCol w:w="109"/>
        <w:gridCol w:w="109"/>
        <w:gridCol w:w="385"/>
        <w:gridCol w:w="385"/>
        <w:gridCol w:w="386"/>
        <w:gridCol w:w="109"/>
        <w:gridCol w:w="109"/>
        <w:gridCol w:w="109"/>
        <w:gridCol w:w="332"/>
        <w:gridCol w:w="317"/>
        <w:gridCol w:w="453"/>
      </w:tblGrid>
      <w:tr>
        <w:trPr/>
        <w:tc>
          <w:tcPr>
            <w:tcW w:w="180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4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6D6D6D"/>
                <w:sz w:val="18"/>
              </w:rPr>
            </w:pPr>
            <w:r>
              <w:rPr>
                <w:rFonts w:ascii="Times New Roman;serif" w:hAnsi="Times New Roman;serif"/>
                <w:b/>
                <w:i/>
                <w:color w:val="6D6D6D"/>
                <w:sz w:val="18"/>
              </w:rPr>
              <w:t>($ in millions, except per share data)</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w:t>
            </w:r>
          </w:p>
        </w:tc>
      </w:tr>
      <w:tr>
        <w:trPr/>
        <w:tc>
          <w:tcPr>
            <w:tcW w:w="4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$0.48 to $0.54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 to $2.15</w:t>
            </w:r>
          </w:p>
        </w:tc>
      </w:tr>
      <w:tr>
        <w:trPr/>
        <w:tc>
          <w:tcPr>
            <w:tcW w:w="4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per Common Share and OP Unit</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$0.76 to $0.82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 to $3.25</w:t>
            </w:r>
          </w:p>
        </w:tc>
      </w:tr>
      <w:tr>
        <w:trPr/>
        <w:tc>
          <w:tcPr>
            <w:tcW w:w="4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Normalized FFO per Common Share and OP Unit</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$0.76 to $0.82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 to $3.23</w:t>
            </w:r>
          </w:p>
        </w:tc>
      </w:tr>
      <w:tr>
        <w:trPr/>
        <w:tc>
          <w:tcPr>
            <w:tcW w:w="4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Growth Rates</w:t>
            </w:r>
          </w:p>
        </w:tc>
      </w:tr>
      <w:tr>
        <w:trPr/>
        <w:tc>
          <w:tcPr>
            <w:tcW w:w="4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Core Portfolio:</w:t>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w:t>
            </w:r>
          </w:p>
        </w:tc>
      </w:tr>
      <w:tr>
        <w:trPr/>
        <w:tc>
          <w:tcPr>
            <w:tcW w:w="4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MH base rental income</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 to 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 to 6.2%</w:t>
            </w:r>
          </w:p>
        </w:tc>
      </w:tr>
      <w:tr>
        <w:trPr/>
        <w:tc>
          <w:tcPr>
            <w:tcW w:w="46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RV and marina base rental income </w:t>
            </w:r>
            <w:r>
              <w:rPr>
                <w:rFonts w:ascii="Times New Roman;serif" w:hAnsi="Times New Roman;serif"/>
                <w:b w:val="false"/>
                <w:color w:val="000000"/>
                <w:sz w:val="13"/>
              </w:rPr>
              <w:t>(1)</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 to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 to 2.1%</w:t>
            </w:r>
          </w:p>
        </w:tc>
      </w:tr>
      <w:tr>
        <w:trPr/>
        <w:tc>
          <w:tcPr>
            <w:tcW w:w="4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revenues</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 to 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 to 4.9%</w:t>
            </w:r>
          </w:p>
        </w:tc>
      </w:tr>
      <w:tr>
        <w:trPr/>
        <w:tc>
          <w:tcPr>
            <w:tcW w:w="4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expenses, excluding property management</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 to 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 to 2.6%</w:t>
            </w:r>
          </w:p>
        </w:tc>
      </w:tr>
      <w:tr>
        <w:trPr/>
        <w:tc>
          <w:tcPr>
            <w:tcW w:w="4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property operations, excluding property management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 to 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 to 6.5%</w:t>
            </w:r>
          </w:p>
        </w:tc>
      </w:tr>
      <w:tr>
        <w:trPr/>
        <w:tc>
          <w:tcPr>
            <w:tcW w:w="4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Full Year</w:t>
            </w:r>
          </w:p>
        </w:tc>
      </w:tr>
      <w:tr>
        <w:trPr/>
        <w:tc>
          <w:tcPr>
            <w:tcW w:w="4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Non-Core Income from property operations, excluding property management</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 to $12.7</w:t>
            </w:r>
          </w:p>
        </w:tc>
      </w:tr>
      <w:tr>
        <w:trPr/>
        <w:tc>
          <w:tcPr>
            <w:tcW w:w="4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management and general administrative</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$119.8 to $125.8</w:t>
            </w:r>
          </w:p>
        </w:tc>
      </w:tr>
      <w:tr>
        <w:trPr/>
        <w:tc>
          <w:tcPr>
            <w:tcW w:w="4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related amortization</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$134.3 to $140.3</w:t>
            </w:r>
          </w:p>
        </w:tc>
      </w:tr>
    </w:tbl>
    <w:p>
      <w:pPr>
        <w:pStyle w:val="TextBody"/>
        <w:bidi w:val="0"/>
        <w:spacing w:before="240" w:after="283"/>
        <w:jc w:val="both"/>
        <w:rPr/>
      </w:pPr>
      <w:r>
        <w:rPr/>
      </w:r>
    </w:p>
    <w:p>
      <w:pPr>
        <w:pStyle w:val="TextBody"/>
        <w:bidi w:val="0"/>
        <w:spacing w:lineRule="auto" w:line="288" w:before="240" w:after="120"/>
        <w:ind w:left="0" w:right="0" w:hanging="270"/>
        <w:jc w:val="both"/>
        <w:rPr/>
      </w:pPr>
      <w:r>
        <w:rPr>
          <w:rFonts w:ascii="Times New Roman;serif" w:hAnsi="Times New Roman;serif"/>
          <w:b/>
          <w:color w:val="000000"/>
          <w:sz w:val="22"/>
        </w:rPr>
        <w:t xml:space="preserve">Full Year 2026 Guidance Update Compared to Prior 2026 Guidance </w:t>
      </w:r>
      <w:r>
        <w:rPr>
          <w:rFonts w:ascii="Times New Roman;serif" w:hAnsi="Times New Roman;serif"/>
          <w:b/>
          <w:color w:val="000000"/>
          <w:sz w:val="14"/>
        </w:rPr>
        <w:t>(2)</w:t>
      </w:r>
    </w:p>
    <w:tbl>
      <w:tblPr>
        <w:tblW w:w="10205" w:type="dxa"/>
        <w:jc w:val="left"/>
        <w:tblInd w:w="0" w:type="dxa"/>
        <w:tblLayout w:type="fixed"/>
        <w:tblCellMar>
          <w:top w:w="28" w:type="dxa"/>
          <w:left w:w="28" w:type="dxa"/>
          <w:bottom w:w="28" w:type="dxa"/>
          <w:right w:w="28" w:type="dxa"/>
        </w:tblCellMar>
      </w:tblPr>
      <w:tblGrid>
        <w:gridCol w:w="1510"/>
        <w:gridCol w:w="1300"/>
        <w:gridCol w:w="1308"/>
        <w:gridCol w:w="947"/>
        <w:gridCol w:w="947"/>
        <w:gridCol w:w="951"/>
        <w:gridCol w:w="109"/>
        <w:gridCol w:w="109"/>
        <w:gridCol w:w="109"/>
        <w:gridCol w:w="851"/>
        <w:gridCol w:w="851"/>
        <w:gridCol w:w="1213"/>
      </w:tblGrid>
      <w:tr>
        <w:trPr/>
        <w:tc>
          <w:tcPr>
            <w:tcW w:w="151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Prior Full Year 2026 Guidance Midpoint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Updated Full Year 2026 Guidance Midpoint</w:t>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Normalized FFO per Common Share and OP Unit</w:t>
            </w:r>
          </w:p>
        </w:tc>
        <w:tc>
          <w:tcPr>
            <w:tcW w:w="2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$3.18</w:t>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Core Portfolio Growth Rates:</w:t>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MH base rental income</w:t>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RV and marina base rental income </w:t>
            </w:r>
            <w:r>
              <w:rPr>
                <w:rFonts w:ascii="Times New Roman;serif" w:hAnsi="Times New Roman;serif"/>
                <w:b w:val="false"/>
                <w:color w:val="000000"/>
                <w:sz w:val="13"/>
              </w:rPr>
              <w:t>(1)</w:t>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revenues</w:t>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expenses, excluding property management</w:t>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property operations, excluding property management </w:t>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bl>
    <w:p>
      <w:pPr>
        <w:pStyle w:val="TextBody"/>
        <w:bidi w:val="0"/>
        <w:spacing w:before="180" w:after="283"/>
        <w:jc w:val="both"/>
        <w:rPr/>
      </w:pPr>
      <w:r>
        <w:rPr/>
      </w:r>
    </w:p>
    <w:p>
      <w:pPr>
        <w:pStyle w:val="TextBody"/>
        <w:bidi w:val="0"/>
        <w:spacing w:lineRule="auto" w:line="288" w:before="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______________________ </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Core RV and marina annual base rental income represents approximately 73.2% and 75.4% of third quarter 2026 and full year 2026 RV and marina base rental income guidance, respectively. Core RV and marina annual base rental income third quarter 2026 growth rate range is 4.6% to 5.2% and the full year 2026 growth rate range is 4.3% to 5.3%. Our guidance provided on April 21, 2026 factored in a Core RV and marina annual base rental income growth rate range of 4.2% to 5.2% for full year 2026.</w:t>
      </w:r>
    </w:p>
    <w:p>
      <w:pPr>
        <w:pStyle w:val="TextBody"/>
        <w:bidi w:val="0"/>
        <w:spacing w:lineRule="auto" w:line="288"/>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Prior guidance issued on April 21, 2026.</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28650"/>
                <wp:effectExtent l="0" t="0" r="0" b="0"/>
                <wp:wrapNone/>
                <wp:docPr id="7"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4" w:type="dxa"/>
                              <w:jc w:val="center"/>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 xml:space="preserve">iii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center"/>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 xml:space="preserve">iii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120"/>
        <w:jc w:val="both"/>
        <w:rPr>
          <w:rFonts w:ascii="Times New Roman;serif" w:hAnsi="Times New Roman;serif"/>
          <w:b/>
          <w:color w:val="000000"/>
          <w:sz w:val="22"/>
        </w:rPr>
      </w:pPr>
      <w:r>
        <w:rPr>
          <w:rFonts w:ascii="Times New Roman;serif" w:hAnsi="Times New Roman;serif"/>
          <w:b/>
          <w:color w:val="000000"/>
          <w:sz w:val="22"/>
        </w:rPr>
        <w:t>About Equity LifeStyle Properties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a self-administered, self-managed real estate investment trust (“REIT”) with headquarters in Chicago. As of June 30, 2026, we own or have an interest in 453 properties in 35 states and British Columbia consisting of 173,559 sites.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additional information, please contact our Investor Relations Department at (800) 247-5279 or at investor_relations@equitylifestyle.com.</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Conference Call</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live audio webcast of our conference call discussing these results will take place tomorrow, Thursday, July 23, 2026, at 11:00 a.m. Central Time. Please visit the Investor Relations section at www.equitylifestyleproperties.com for the link. A replay of the webcast will be available for two weeks at this site.</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historical information, this press release includes certain “forward-looking statements” within the meaning of the Private Securities Litigation Reform Act of 1995. When used, words such as “anticipate,” “expect,” “believe,” “project,” “estimate,” “guidance,” “intend,” “may be” and “will be” and similar words or phrases, or the negative thereof, unless the context requires otherwise, are intended to identify forward-looking statements and may include, without limitation, information regarding our expectations, goals or intentions regarding the future, and the expected effect of our acquisitions. Forward-looking statements, including our guidance concerning Net Income, FFO and Normalized FFO per share data, and certain growth rates, by their nature, involve estimates, projections, goals, forecasts and assumptions and are subject to risks and uncertainties that could cause actual results or outcomes to differ materially from those expressed in a forward-looking statement due to a number of factors, which include, but are not limited to the following: (i) the mix of site usage within the portfolio; (ii) yield management on our short-term resort and marina sites; (iii) scheduled or implemented rate increases on community, resort and marina sites; (iv) scheduled or implemented rate increases in annual payments under membership subscriptions; (v) occupancy changes; (vi) our ability to attract and retain membership customers; (vii) change in customer demand regarding travel and outdoor vacation destinations; (viii) our ability to manage expenses in an inflationary environment, including the impact of changes in tariffs, as well as costs associated with supply chain disruptions; (ix) changes in debt service and interest rates; (x) our ability to integrate and operate recent acquisitions in accordance with our estimates; (xi) our ability to execute expansion/development opportunities in the face of changes impacting the supply chain or labor markets; (xii) completion of pending transactions in their entirety and on assumed schedule; (xiii) our ability to attract and retain property employees, particularly seasonal employees; (xiv) ongoing legal matters and related fees; (xv) costs to clean up and restore property operations and potential revenue losses following storms or other unplanned events; and (xvi) the potential impact of material weaknesses, if any, in our internal control over financial reporting. For further information on these and other factors that could impact us and the statements contained herein, refer to our filings with the Securities and Exchange Commission, including the “Risk Factors” and “Forward-Looking Statements” sections in our most recent Annual Report on Form 10-K and any subsequent Quarterly Reports on Form 10-Q. These forward-looking statements are based on management’s present expectations and beliefs about future events. As with any projection or forecast, these statements are inherently susceptible to uncertainty and changes in circumstances. We are under no obligation to, and expressly disclaim any obligation to, update or alter our forward-looking statements whether as a result of such changes, new information, subsequent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28650"/>
                <wp:effectExtent l="0" t="0" r="0" b="0"/>
                <wp:wrapNone/>
                <wp:docPr id="8" name="Frame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 xml:space="preserve">iv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 xml:space="preserve">iv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Supplemental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28650"/>
                <wp:effectExtent l="0" t="0" r="0" b="0"/>
                <wp:wrapNone/>
                <wp:docPr id="9" name="Frame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157" w:type="dxa"/>
        <w:jc w:val="center"/>
        <w:tblInd w:w="0" w:type="dxa"/>
        <w:tblLayout w:type="fixed"/>
        <w:tblCellMar>
          <w:top w:w="28" w:type="dxa"/>
          <w:left w:w="28" w:type="dxa"/>
          <w:bottom w:w="28" w:type="dxa"/>
          <w:right w:w="28" w:type="dxa"/>
        </w:tblCellMar>
      </w:tblPr>
      <w:tblGrid>
        <w:gridCol w:w="231"/>
        <w:gridCol w:w="203"/>
        <w:gridCol w:w="203"/>
        <w:gridCol w:w="203"/>
        <w:gridCol w:w="203"/>
        <w:gridCol w:w="203"/>
        <w:gridCol w:w="203"/>
        <w:gridCol w:w="203"/>
        <w:gridCol w:w="203"/>
        <w:gridCol w:w="203"/>
        <w:gridCol w:w="203"/>
        <w:gridCol w:w="203"/>
        <w:gridCol w:w="203"/>
        <w:gridCol w:w="203"/>
        <w:gridCol w:w="287"/>
      </w:tblGrid>
      <w:tr>
        <w:trPr/>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157"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8"/>
              </w:rPr>
              <w:t xml:space="preserve">Financial Highlights </w:t>
            </w:r>
            <w:r>
              <w:rPr>
                <w:rFonts w:ascii="Times New Roman;serif" w:hAnsi="Times New Roman;serif"/>
                <w:b/>
                <w:color w:val="000000"/>
                <w:sz w:val="18"/>
              </w:rPr>
              <w:t>(1)(2)</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999999"/>
          <w:sz w:val="18"/>
        </w:rPr>
      </w:pPr>
      <w:r>
        <w:rPr>
          <w:rFonts w:ascii="Times New Roman;serif" w:hAnsi="Times New Roman;serif"/>
          <w:b/>
          <w:i/>
          <w:color w:val="999999"/>
          <w:sz w:val="18"/>
        </w:rPr>
        <w:t>(In millions, except Common Shares and OP Units outstanding and per share and ratio data, unaudited)</w:t>
      </w:r>
    </w:p>
    <w:tbl>
      <w:tblPr>
        <w:tblW w:w="10205" w:type="dxa"/>
        <w:jc w:val="center"/>
        <w:tblInd w:w="0" w:type="dxa"/>
        <w:tblLayout w:type="fixed"/>
        <w:tblCellMar>
          <w:top w:w="28" w:type="dxa"/>
          <w:left w:w="28" w:type="dxa"/>
          <w:bottom w:w="28" w:type="dxa"/>
          <w:right w:w="28" w:type="dxa"/>
        </w:tblCellMar>
      </w:tblPr>
      <w:tblGrid>
        <w:gridCol w:w="1689"/>
        <w:gridCol w:w="1445"/>
        <w:gridCol w:w="1452"/>
        <w:gridCol w:w="202"/>
        <w:gridCol w:w="668"/>
        <w:gridCol w:w="264"/>
        <w:gridCol w:w="197"/>
        <w:gridCol w:w="650"/>
        <w:gridCol w:w="258"/>
        <w:gridCol w:w="196"/>
        <w:gridCol w:w="646"/>
        <w:gridCol w:w="256"/>
        <w:gridCol w:w="196"/>
        <w:gridCol w:w="646"/>
        <w:gridCol w:w="256"/>
        <w:gridCol w:w="202"/>
        <w:gridCol w:w="667"/>
        <w:gridCol w:w="315"/>
      </w:tblGrid>
      <w:tr>
        <w:trPr/>
        <w:tc>
          <w:tcPr>
            <w:tcW w:w="168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and for the Quarters Ended</w:t>
            </w:r>
          </w:p>
        </w:tc>
      </w:tr>
      <w:tr>
        <w:trPr/>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 31, 2026</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 31, 2025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 30, 2025</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Information</w:t>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for Common Stockholders</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EBITDAre</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available for Common Stock and OP Unit holders</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Normalized FFO available for Common Stock and OP Unit holders</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Funds Available for Distribution (“FAD”) for Common Stock and OP Unit holders</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Common Shares and OP Units Outstanding </w:t>
            </w:r>
            <w:r>
              <w:rPr>
                <w:rFonts w:ascii="Times New Roman;serif" w:hAnsi="Times New Roman;serif"/>
                <w:b/>
                <w:i/>
                <w:color w:val="000000"/>
                <w:sz w:val="18"/>
              </w:rPr>
              <w:t>(In thousands)</w:t>
            </w:r>
            <w:r>
              <w:rPr>
                <w:color w:val="000000"/>
              </w:rPr>
              <w:t xml:space="preserve"> </w:t>
            </w:r>
            <w:r>
              <w:rPr>
                <w:rFonts w:ascii="Times New Roman;serif" w:hAnsi="Times New Roman;serif"/>
                <w:b/>
                <w:color w:val="000000"/>
                <w:sz w:val="18"/>
              </w:rPr>
              <w:t>and Per Share Data</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and OP Units, end of the period</w:t>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200,405 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200,377 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200,284 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200,272 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and OP Units outstanding - Fully Diluted</w:t>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200,209 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200,176 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200,162 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200,126 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200,095 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per Common Share - Fully Diluted</w:t>
            </w:r>
            <w:r>
              <w:rPr>
                <w:color w:val="000000"/>
              </w:rPr>
              <w:t xml:space="preserve"> </w:t>
            </w:r>
            <w:r>
              <w:rPr>
                <w:rFonts w:ascii="Times New Roman;serif" w:hAnsi="Times New Roman;serif"/>
                <w:b w:val="false"/>
                <w:color w:val="000000"/>
                <w:sz w:val="12"/>
              </w:rPr>
              <w:t>(3)</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per Common Share and OP Unit - Fully Diluted</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Normalized FFO per Common Share and OP Unit - Fully Diluted</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per Common Share</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0.5425 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0.5425 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0.5150 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5,801 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5,749 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5,721 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3,908 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Market Capitalization</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debt </w:t>
            </w:r>
            <w:r>
              <w:rPr>
                <w:rFonts w:ascii="Times New Roman;serif" w:hAnsi="Times New Roman;serif"/>
                <w:b w:val="false"/>
                <w:color w:val="000000"/>
                <w:sz w:val="12"/>
              </w:rPr>
              <w:t>(4)</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3,314 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market capitalization</w:t>
            </w:r>
            <w:r>
              <w:rPr>
                <w:color w:val="000000"/>
              </w:rPr>
              <w:t xml:space="preserve"> </w:t>
            </w:r>
            <w:r>
              <w:rPr>
                <w:rFonts w:ascii="Times New Roman;serif" w:hAnsi="Times New Roman;serif"/>
                <w:b w:val="false"/>
                <w:color w:val="000000"/>
                <w:sz w:val="12"/>
              </w:rPr>
              <w:t>(5)</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16,252 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15,822 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15,624 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Ratios</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 total market capitalization</w:t>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3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debt / Adjusted EBITDAre </w:t>
            </w:r>
            <w:r>
              <w:rPr>
                <w:rFonts w:ascii="Times New Roman;serif" w:hAnsi="Times New Roman;serif"/>
                <w:b w:val="false"/>
                <w:color w:val="000000"/>
                <w:sz w:val="12"/>
              </w:rPr>
              <w:t>(6)</w:t>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coverage </w:t>
            </w:r>
            <w:r>
              <w:rPr>
                <w:rFonts w:ascii="Times New Roman;serif" w:hAnsi="Times New Roman;serif"/>
                <w:b w:val="false"/>
                <w:color w:val="000000"/>
                <w:sz w:val="12"/>
              </w:rPr>
              <w:t>(7)</w:t>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Fixed charges </w:t>
            </w:r>
            <w:r>
              <w:rPr>
                <w:rFonts w:ascii="Times New Roman;serif" w:hAnsi="Times New Roman;serif"/>
                <w:b w:val="false"/>
                <w:color w:val="000000"/>
                <w:sz w:val="12"/>
              </w:rPr>
              <w:t>(8)</w:t>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____________________ </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1.See Non-GAAP Financial Measures Definitions and Reconciliations at the end of the Supplemental Financial Information for definitions of fixed charges, FFO, Normalized FFO, FAD, Income from property operations excluding property management, EBITDAre, Adjusted EBITDAre, and a reconciliation of Consolidated net income to Income from property operations.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2.See page 6 for a reconciliation of Net income available for Common Stockholders to Non-GAAP financial measures FFO available for Common Stock and OP Unit holders, Normalized FFO available for Common Stock and OP Unit holders and FAD for Common Stock and OP Unit holders.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3.Net Income per Common Share - Fully Diluted is calculated before Income allocated to non-controlling interest - Common OP Units.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4.Excludes Deferred financing costs, net of approximately $22.5 million as of June 30, 2026.</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5.See page 14 for the calculation of market capitalization as of June 30, 2026.</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6.Calculated using trailing twelve months Adjusted EBITDAre.</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7.Calculated by dividing trailing twelve months Adjusted EBITDAre by the interest expense incurred during the same period.</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8.Calculated by dividing trailing twelve months Adjusted EBITDAre by the sum of fixed charges and preferred stock dividends, if any, during the same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46125"/>
                <wp:effectExtent l="0" t="0" r="0" b="0"/>
                <wp:wrapNone/>
                <wp:docPr id="10" name="Frame9"/>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tbl>
      <w:tblPr>
        <w:tblW w:w="3667" w:type="dxa"/>
        <w:jc w:val="center"/>
        <w:tblInd w:w="0" w:type="dxa"/>
        <w:tblLayout w:type="fixed"/>
        <w:tblCellMar>
          <w:top w:w="28" w:type="dxa"/>
          <w:left w:w="28" w:type="dxa"/>
          <w:bottom w:w="28" w:type="dxa"/>
          <w:right w:w="28" w:type="dxa"/>
        </w:tblCellMar>
      </w:tblPr>
      <w:tblGrid>
        <w:gridCol w:w="267"/>
        <w:gridCol w:w="234"/>
        <w:gridCol w:w="234"/>
        <w:gridCol w:w="234"/>
        <w:gridCol w:w="234"/>
        <w:gridCol w:w="234"/>
        <w:gridCol w:w="234"/>
        <w:gridCol w:w="234"/>
        <w:gridCol w:w="234"/>
        <w:gridCol w:w="234"/>
        <w:gridCol w:w="234"/>
        <w:gridCol w:w="234"/>
        <w:gridCol w:w="234"/>
        <w:gridCol w:w="234"/>
        <w:gridCol w:w="358"/>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667"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Consolidated Balance Sheets</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999999"/>
          <w:sz w:val="18"/>
        </w:rPr>
      </w:pPr>
      <w:r>
        <w:rPr>
          <w:rFonts w:ascii="Times New Roman;serif" w:hAnsi="Times New Roman;serif"/>
          <w:b/>
          <w:i/>
          <w:color w:val="999999"/>
          <w:sz w:val="18"/>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783"/>
        <w:gridCol w:w="2251"/>
        <w:gridCol w:w="2274"/>
        <w:gridCol w:w="196"/>
        <w:gridCol w:w="886"/>
        <w:gridCol w:w="109"/>
        <w:gridCol w:w="109"/>
        <w:gridCol w:w="109"/>
        <w:gridCol w:w="109"/>
        <w:gridCol w:w="218"/>
        <w:gridCol w:w="987"/>
        <w:gridCol w:w="174"/>
      </w:tblGrid>
      <w:tr>
        <w:trPr/>
        <w:tc>
          <w:tcPr>
            <w:tcW w:w="2783"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real estate:</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2,088,174 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 improvements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4,784,223 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other depreciable property</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1,306,317 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8,412,978 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8,178,714 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(2,941,941)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(2,838,344)</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investment in real estate </w:t>
            </w:r>
            <w:r>
              <w:rPr>
                <w:rFonts w:ascii="Times New Roman;serif" w:hAnsi="Times New Roman;serif"/>
                <w:b w:val="false"/>
                <w:color w:val="000000"/>
                <w:sz w:val="12"/>
              </w:rPr>
              <w:t>(1)</w:t>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5,471,037 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5,340,370 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Notes receivable, net </w:t>
            </w:r>
            <w:r>
              <w:rPr>
                <w:rFonts w:ascii="Times New Roman;serif" w:hAnsi="Times New Roman;serif"/>
                <w:b w:val="false"/>
                <w:color w:val="000000"/>
                <w:sz w:val="12"/>
              </w:rPr>
              <w:t>(1)</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93,358 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 in unconsolidated joint ventures </w:t>
            </w:r>
            <w:r>
              <w:rPr>
                <w:rFonts w:ascii="Times New Roman;serif" w:hAnsi="Times New Roman;serif"/>
                <w:b w:val="false"/>
                <w:color w:val="000000"/>
                <w:sz w:val="12"/>
              </w:rPr>
              <w:t>(1)</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85,041 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commission expense</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142,343 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5,800,675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5,745,393</w:t>
            </w:r>
            <w:r>
              <w:rPr>
                <w:color w:val="000000"/>
              </w:rPr>
              <w:t>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notes payable, net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2,779,158 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437,455 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line of credit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152,536 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membership revenue</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221,498 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Rents and other customer payments received in advance and security deposits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120,441 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payable</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103,146 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3,984,070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3,930,567</w:t>
            </w:r>
            <w:r>
              <w:rPr>
                <w:color w:val="000000"/>
              </w:rPr>
              <w:t>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Preferred stock, $0.01 par value, 10,000,000 shares authorized as of June 30, 2026 and December 31, 2025; none issued and outstanding. </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600,000,000 shares authorized as of June 30, 2026 and December 31, 2025; 193,972,195 and 193,835,561 shares issued and outstanding as of June 30, 2026 and December 31, 2025, respectively.</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1,981,540 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in excess of accumulated earnings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(225,045)</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income/(loss)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1,758,170 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1,756,275 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 Common OP Units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58,551 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1,816,605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1,814,826</w:t>
            </w:r>
            <w:r>
              <w:rPr>
                <w:color w:val="000000"/>
              </w:rPr>
              <w:t>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5,800,675</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5,745,393</w:t>
            </w:r>
            <w:r>
              <w:rPr>
                <w:color w:val="000000"/>
              </w:rPr>
              <w:t> </w:t>
            </w:r>
          </w:p>
        </w:tc>
        <w:tc>
          <w:tcPr>
            <w:tcW w:w="1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______________________</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1.On April 30, 2026, we acquired the remaining 20% ownership interests in certain RVC joint ventures for cash consideration of $4.4 million, which resulted in the consolidation of seven RV properties and one land parcel. As of June 30, 2026, the impact of consolidation resulted in an increase of $102.9 million in Net investment in real estate and decreases of $56.1 million in Notes receivable, net and $42.5 million in Investment in unconsolidated joint ventures, as compared to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46125"/>
                <wp:effectExtent l="0" t="0" r="0" b="0"/>
                <wp:wrapNone/>
                <wp:docPr id="11" name="Frame10"/>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2</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2</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tbl>
      <w:tblPr>
        <w:tblW w:w="4481" w:type="dxa"/>
        <w:jc w:val="center"/>
        <w:tblInd w:w="0" w:type="dxa"/>
        <w:tblLayout w:type="fixed"/>
        <w:tblCellMar>
          <w:top w:w="28" w:type="dxa"/>
          <w:left w:w="28" w:type="dxa"/>
          <w:bottom w:w="28" w:type="dxa"/>
          <w:right w:w="28" w:type="dxa"/>
        </w:tblCellMar>
      </w:tblPr>
      <w:tblGrid>
        <w:gridCol w:w="326"/>
        <w:gridCol w:w="286"/>
        <w:gridCol w:w="286"/>
        <w:gridCol w:w="286"/>
        <w:gridCol w:w="286"/>
        <w:gridCol w:w="286"/>
        <w:gridCol w:w="286"/>
        <w:gridCol w:w="286"/>
        <w:gridCol w:w="286"/>
        <w:gridCol w:w="286"/>
        <w:gridCol w:w="286"/>
        <w:gridCol w:w="286"/>
        <w:gridCol w:w="286"/>
        <w:gridCol w:w="286"/>
        <w:gridCol w:w="437"/>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481"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Consolidated Statements of Income</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999999"/>
          <w:sz w:val="18"/>
        </w:rPr>
      </w:pPr>
      <w:r>
        <w:rPr>
          <w:rFonts w:ascii="Times New Roman;serif" w:hAnsi="Times New Roman;serif"/>
          <w:b/>
          <w:i/>
          <w:color w:val="999999"/>
          <w:sz w:val="18"/>
        </w:rPr>
        <w:t>(In thousands, unaudited)</w:t>
      </w:r>
    </w:p>
    <w:tbl>
      <w:tblPr>
        <w:tblW w:w="10205" w:type="dxa"/>
        <w:jc w:val="center"/>
        <w:tblInd w:w="0" w:type="dxa"/>
        <w:tblLayout w:type="fixed"/>
        <w:tblCellMar>
          <w:top w:w="28" w:type="dxa"/>
          <w:left w:w="28" w:type="dxa"/>
          <w:bottom w:w="28" w:type="dxa"/>
          <w:right w:w="28" w:type="dxa"/>
        </w:tblCellMar>
      </w:tblPr>
      <w:tblGrid>
        <w:gridCol w:w="1813"/>
        <w:gridCol w:w="1583"/>
        <w:gridCol w:w="1588"/>
        <w:gridCol w:w="196"/>
        <w:gridCol w:w="736"/>
        <w:gridCol w:w="109"/>
        <w:gridCol w:w="109"/>
        <w:gridCol w:w="109"/>
        <w:gridCol w:w="109"/>
        <w:gridCol w:w="196"/>
        <w:gridCol w:w="736"/>
        <w:gridCol w:w="109"/>
        <w:gridCol w:w="109"/>
        <w:gridCol w:w="109"/>
        <w:gridCol w:w="109"/>
        <w:gridCol w:w="196"/>
        <w:gridCol w:w="751"/>
        <w:gridCol w:w="109"/>
        <w:gridCol w:w="109"/>
        <w:gridCol w:w="109"/>
        <w:gridCol w:w="109"/>
        <w:gridCol w:w="196"/>
        <w:gridCol w:w="751"/>
        <w:gridCol w:w="155"/>
      </w:tblGrid>
      <w:tr>
        <w:trPr/>
        <w:tc>
          <w:tcPr>
            <w:tcW w:w="181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640,493 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membership subscriptions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33,244 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upgrade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32,028 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revenues from home sales, brokered resales and ancillary services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other investments,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795,437 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764,200 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operating and maintenance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246,411 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sales and marketing</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management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home sales, brokered resales and ancillary services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selling expenses and ancillary 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Casualty-related charges/(recoveries), net </w:t>
            </w:r>
            <w:r>
              <w:rPr>
                <w:rFonts w:ascii="Times New Roman;serif" w:hAnsi="Times New Roman;serif"/>
                <w:b w:val="false"/>
                <w:color w:val="000000"/>
                <w:sz w:val="12"/>
              </w:rPr>
              <w:t>(2)</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related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298,458 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292,643 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583,712 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570,485 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other items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193,715 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Gain/(Loss) on sale of real estate and impairment,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income/(loss) of unconsolidated joint ventures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197,886 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allocated to non-controlling interests – Common OP Units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perpetual preferred stock dividends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available for Common Stockholders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96,316</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79,708</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204,220</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188,900</w:t>
            </w:r>
            <w:r>
              <w:rPr>
                <w:color w:val="000000"/>
              </w:rPr>
              <w:t>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______________________</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1.Includes $0.9 million and $2.0 million related to non-operating legal expenses during the quarter and six months ended June 30, 2026, respectively.</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2.Casualty-related charges/(recoveries), net for the quarter and six months ended June 30, 2026 includes insurance recovery revenue of $7.1 million for reimbursement of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46125"/>
                <wp:effectExtent l="0" t="0" r="0" b="0"/>
                <wp:wrapNone/>
                <wp:docPr id="12" name="Frame11"/>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3</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3</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Non-GAAP Financial Measures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document contains certain Non-GAAP measures used by management that we believe are helpful to understand our business. We believe investors should review these Non-GAAP measures along with GAAP net income and cash flows from operating activities, investing activities and financing activities, when evaluating an equity REIT’s operating performance. Our definitions and calculations of these Non-GAAP financial and operating measures and other terms may differ from the definitions and methodologies used by other REITs and, accordingly, may not be comparable. These Non-GAAP financial and operating measures do not represent cash generated from operating activities in accordance with GAAP, nor do they represent cash available to pay distributions and should not be considered as an alternative to net income, determined in accordance with GAAP, as an indication of our financial performance, or to cash flows from operating activities, determined in accordance with GAAP, as a measure of our liquidity, nor are they indicative of funds available to fund our cash needs, including our ability to make cash distributions. For definitions and reconciliations of Non-GAAP measures to our financial statements as prepared under GAAP, refer to both Reconciliation of Net Income to Non-GAAP Financial Measures on page 6 and Non-GAAP Financial Measures Definitions and Reconciliations on pages 16-19.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46125"/>
                <wp:effectExtent l="0" t="0" r="0" b="0"/>
                <wp:wrapNone/>
                <wp:docPr id="13" name="Frame12"/>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4</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4</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tbl>
      <w:tblPr>
        <w:tblW w:w="5396" w:type="dxa"/>
        <w:jc w:val="center"/>
        <w:tblInd w:w="0" w:type="dxa"/>
        <w:tblLayout w:type="fixed"/>
        <w:tblCellMar>
          <w:top w:w="28" w:type="dxa"/>
          <w:left w:w="28" w:type="dxa"/>
          <w:bottom w:w="28" w:type="dxa"/>
          <w:right w:w="28" w:type="dxa"/>
        </w:tblCellMar>
      </w:tblPr>
      <w:tblGrid>
        <w:gridCol w:w="395"/>
        <w:gridCol w:w="347"/>
        <w:gridCol w:w="347"/>
        <w:gridCol w:w="347"/>
        <w:gridCol w:w="347"/>
        <w:gridCol w:w="347"/>
        <w:gridCol w:w="347"/>
        <w:gridCol w:w="347"/>
        <w:gridCol w:w="347"/>
        <w:gridCol w:w="347"/>
        <w:gridCol w:w="347"/>
        <w:gridCol w:w="347"/>
        <w:gridCol w:w="347"/>
        <w:gridCol w:w="347"/>
        <w:gridCol w:w="490"/>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5396"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8"/>
              </w:rPr>
              <w:t xml:space="preserve">Selected Non-GAAP Financial Measures </w:t>
            </w:r>
            <w:r>
              <w:rPr>
                <w:rFonts w:ascii="Times New Roman;serif" w:hAnsi="Times New Roman;serif"/>
                <w:b/>
                <w:color w:val="000000"/>
                <w:sz w:val="18"/>
              </w:rPr>
              <w:t>(1)</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999999"/>
          <w:sz w:val="18"/>
        </w:rPr>
      </w:pPr>
      <w:r>
        <w:rPr>
          <w:rFonts w:ascii="Times New Roman;serif" w:hAnsi="Times New Roman;serif"/>
          <w:b/>
          <w:i/>
          <w:color w:val="999999"/>
          <w:sz w:val="18"/>
        </w:rPr>
        <w:t>(In millions, except per share data, unaudited)</w:t>
      </w:r>
    </w:p>
    <w:tbl>
      <w:tblPr>
        <w:tblW w:w="7874" w:type="dxa"/>
        <w:jc w:val="center"/>
        <w:tblInd w:w="0" w:type="dxa"/>
        <w:tblLayout w:type="fixed"/>
        <w:tblCellMar>
          <w:top w:w="28" w:type="dxa"/>
          <w:left w:w="28" w:type="dxa"/>
          <w:bottom w:w="28" w:type="dxa"/>
          <w:right w:w="28" w:type="dxa"/>
        </w:tblCellMar>
      </w:tblPr>
      <w:tblGrid>
        <w:gridCol w:w="2372"/>
        <w:gridCol w:w="2085"/>
        <w:gridCol w:w="2098"/>
        <w:gridCol w:w="281"/>
        <w:gridCol w:w="818"/>
        <w:gridCol w:w="220"/>
      </w:tblGrid>
      <w:tr>
        <w:trPr/>
        <w:tc>
          <w:tcPr>
            <w:tcW w:w="237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 Ended</w:t>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Income from property operations, excluding property management - Core Portfolio </w:t>
            </w:r>
            <w:r>
              <w:rPr>
                <w:rFonts w:ascii="Times New Roman;serif" w:hAnsi="Times New Roman;serif"/>
                <w:b w:val="false"/>
                <w:color w:val="000000"/>
                <w:sz w:val="12"/>
              </w:rPr>
              <w:t>(2)</w:t>
            </w:r>
          </w:p>
        </w:tc>
        <w:tc>
          <w:tcPr>
            <w:tcW w:w="2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Income from property operations, excluding property management - Non-Core Portfolio </w:t>
            </w:r>
            <w:r>
              <w:rPr>
                <w:rFonts w:ascii="Times New Roman;serif" w:hAnsi="Times New Roman;serif"/>
                <w:b w:val="false"/>
                <w:color w:val="000000"/>
                <w:sz w:val="12"/>
              </w:rPr>
              <w:t>(2)</w:t>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management and general and administrative</w:t>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and expenses</w:t>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related amortization</w:t>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Normalized FFO available for Common Stock and OP Unit holders </w:t>
            </w:r>
            <w:r>
              <w:rPr>
                <w:rFonts w:ascii="Times New Roman;serif" w:hAnsi="Times New Roman;serif"/>
                <w:b/>
                <w:color w:val="000000"/>
                <w:sz w:val="12"/>
              </w:rPr>
              <w:t>(3)</w:t>
            </w:r>
          </w:p>
        </w:tc>
        <w:tc>
          <w:tcPr>
            <w:tcW w:w="2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148.3</w:t>
            </w:r>
            <w:r>
              <w:rPr>
                <w:color w:val="000000"/>
              </w:rPr>
              <w:t>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items </w:t>
            </w:r>
            <w:r>
              <w:rPr>
                <w:rFonts w:ascii="Times New Roman;serif" w:hAnsi="Times New Roman;serif"/>
                <w:b w:val="false"/>
                <w:color w:val="000000"/>
                <w:sz w:val="12"/>
              </w:rPr>
              <w:t>(4)</w:t>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proceeds due to catastrophic weather events, net</w:t>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FFO available for Common Stock and OP Unit holders </w:t>
            </w:r>
            <w:r>
              <w:rPr>
                <w:rFonts w:ascii="Times New Roman;serif" w:hAnsi="Times New Roman;serif"/>
                <w:b/>
                <w:color w:val="000000"/>
                <w:sz w:val="12"/>
              </w:rPr>
              <w:t>(3)</w:t>
            </w:r>
          </w:p>
        </w:tc>
        <w:tc>
          <w:tcPr>
            <w:tcW w:w="2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154.5</w:t>
            </w:r>
            <w:r>
              <w:rPr>
                <w:color w:val="000000"/>
              </w:rPr>
              <w:t>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per Common Share and OP Unit</w:t>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Normalized FFO per Common Share and OP Unit</w:t>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Normalized FFO available for Common Stock and OP Unit holders</w:t>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148.3</w:t>
            </w: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Non-revenue producing improvements to real estate </w:t>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FAD for Common Stock and OP Unit holders </w:t>
            </w:r>
            <w:r>
              <w:rPr>
                <w:rFonts w:ascii="Times New Roman;serif" w:hAnsi="Times New Roman;serif"/>
                <w:b/>
                <w:color w:val="000000"/>
                <w:sz w:val="12"/>
              </w:rPr>
              <w:t>(3)</w:t>
            </w:r>
          </w:p>
        </w:tc>
        <w:tc>
          <w:tcPr>
            <w:tcW w:w="2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121.6</w:t>
            </w:r>
            <w:r>
              <w:rPr>
                <w:color w:val="000000"/>
              </w:rPr>
              <w:t>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and OP Units - Fully Diluted</w:t>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______________________</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1.See page 6 for a reconciliation of Net income available for Common Stockholders to FFO available for Common Stock and OP Unit holders, Normalized FFO available for Common Stock and OP Unit holders and FAD for Common Stock and OP Unit holders.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2.See pages 8-9 for details of the Core Portfolio Income from Property Operations, excluding property management. See page 10 for details of the Non-Core Portfolio Income from Property Operations, excluding property management.</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3.Amounts may not foot due to rounding.</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4.Represents expenses of $0.9 million related to non-operating legal expenses during the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46125"/>
                <wp:effectExtent l="0" t="0" r="0" b="0"/>
                <wp:wrapNone/>
                <wp:docPr id="14" name="Frame13"/>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5</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5</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tbl>
      <w:tblPr>
        <w:tblW w:w="7969" w:type="dxa"/>
        <w:jc w:val="center"/>
        <w:tblInd w:w="0" w:type="dxa"/>
        <w:tblLayout w:type="fixed"/>
        <w:tblCellMar>
          <w:top w:w="28" w:type="dxa"/>
          <w:left w:w="28" w:type="dxa"/>
          <w:bottom w:w="28" w:type="dxa"/>
          <w:right w:w="28" w:type="dxa"/>
        </w:tblCellMar>
      </w:tblPr>
      <w:tblGrid>
        <w:gridCol w:w="582"/>
        <w:gridCol w:w="510"/>
        <w:gridCol w:w="510"/>
        <w:gridCol w:w="510"/>
        <w:gridCol w:w="510"/>
        <w:gridCol w:w="510"/>
        <w:gridCol w:w="510"/>
        <w:gridCol w:w="510"/>
        <w:gridCol w:w="510"/>
        <w:gridCol w:w="510"/>
        <w:gridCol w:w="510"/>
        <w:gridCol w:w="510"/>
        <w:gridCol w:w="510"/>
        <w:gridCol w:w="510"/>
        <w:gridCol w:w="757"/>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7969"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Reconciliation of Net Income to Non-GAAP Financial Measures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999999"/>
          <w:sz w:val="18"/>
        </w:rPr>
      </w:pPr>
      <w:r>
        <w:rPr>
          <w:rFonts w:ascii="Times New Roman;serif" w:hAnsi="Times New Roman;serif"/>
          <w:b/>
          <w:i/>
          <w:color w:val="999999"/>
          <w:sz w:val="18"/>
        </w:rPr>
        <w:t>(In thousands, except per share data, unaudited)</w:t>
      </w:r>
    </w:p>
    <w:tbl>
      <w:tblPr>
        <w:tblW w:w="10205" w:type="dxa"/>
        <w:jc w:val="center"/>
        <w:tblInd w:w="0" w:type="dxa"/>
        <w:tblLayout w:type="fixed"/>
        <w:tblCellMar>
          <w:top w:w="28" w:type="dxa"/>
          <w:left w:w="28" w:type="dxa"/>
          <w:bottom w:w="28" w:type="dxa"/>
          <w:right w:w="28" w:type="dxa"/>
        </w:tblCellMar>
      </w:tblPr>
      <w:tblGrid>
        <w:gridCol w:w="1803"/>
        <w:gridCol w:w="1571"/>
        <w:gridCol w:w="157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6"/>
      </w:tblGrid>
      <w:tr>
        <w:trPr/>
        <w:tc>
          <w:tcPr>
            <w:tcW w:w="180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available for Common Stockholders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188,900 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allocated to non-controlling interests – Common OP Units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on unconsolidated joint ventures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(Gain)/Loss on sale of real estate and impairment, net </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FFO available for Common Stock and OP Unit holders</w:t>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154,544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138,283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320,648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304,949</w:t>
            </w:r>
            <w:r>
              <w:rPr>
                <w:color w:val="000000"/>
              </w:rPr>
              <w:t>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proceeds due to catastrophic weather events,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items </w:t>
            </w:r>
            <w:r>
              <w:rPr>
                <w:rFonts w:ascii="Times New Roman;serif" w:hAnsi="Times New Roman;serif"/>
                <w:b w:val="false"/>
                <w:color w:val="000000"/>
                <w:sz w:val="12"/>
              </w:rPr>
              <w:t>(1)</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Normalized FFO available for Common Stock and OP Unit holders</w:t>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148,326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137,690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315,622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304,356</w:t>
            </w:r>
            <w:r>
              <w:rPr>
                <w:color w:val="000000"/>
              </w:rPr>
              <w:t>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Non-revenue producing improvements to real estate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FAD for Common Stock and OP Unit holders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121,600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115,230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270,742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265,758</w:t>
            </w:r>
            <w:r>
              <w:rPr>
                <w:color w:val="000000"/>
              </w:rPr>
              <w:t>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Common Share - Basic</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0.99</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Net Income per Common Share - Fully Diluted </w:t>
            </w:r>
            <w:r>
              <w:rPr>
                <w:rFonts w:ascii="Times New Roman;serif" w:hAnsi="Times New Roman;serif"/>
                <w:b/>
                <w:color w:val="000000"/>
                <w:sz w:val="12"/>
              </w:rPr>
              <w:t>(2)</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0.99</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FFO per Common Share and OP Unit - Basic</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FFO per Common Share and OP Unit - Fully Diluted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Normalized FFO per Common Share and OP Unit - Basic</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Normalized FFO per Common Share and OP Unit - Fully Diluted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190,958 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and OP Units outstanding - Basic</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and OP Units outstanding - Fully Diluted</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200,084 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____________________</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1.Represents expenses of $0.9 million and $2.0 million related to non-operating legal expenses during the quarter ended and six months ended June 30, 2026, respectively. </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2.Net Income per Common Share - Fully Diluted is calculated before Income allocated to non-controlling interest - Common OP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46125"/>
                <wp:effectExtent l="0" t="0" r="0" b="0"/>
                <wp:wrapNone/>
                <wp:docPr id="15" name="Frame14"/>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6</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6</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tbl>
      <w:tblPr>
        <w:tblW w:w="6686" w:type="dxa"/>
        <w:jc w:val="center"/>
        <w:tblInd w:w="0" w:type="dxa"/>
        <w:tblLayout w:type="fixed"/>
        <w:tblCellMar>
          <w:top w:w="28" w:type="dxa"/>
          <w:left w:w="28" w:type="dxa"/>
          <w:bottom w:w="28" w:type="dxa"/>
          <w:right w:w="28" w:type="dxa"/>
        </w:tblCellMar>
      </w:tblPr>
      <w:tblGrid>
        <w:gridCol w:w="489"/>
        <w:gridCol w:w="430"/>
        <w:gridCol w:w="430"/>
        <w:gridCol w:w="430"/>
        <w:gridCol w:w="430"/>
        <w:gridCol w:w="430"/>
        <w:gridCol w:w="430"/>
        <w:gridCol w:w="430"/>
        <w:gridCol w:w="430"/>
        <w:gridCol w:w="430"/>
        <w:gridCol w:w="430"/>
        <w:gridCol w:w="430"/>
        <w:gridCol w:w="430"/>
        <w:gridCol w:w="430"/>
        <w:gridCol w:w="607"/>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6686"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8"/>
              </w:rPr>
              <w:t xml:space="preserve">Income from Property Operations - Total Portfolio </w:t>
            </w:r>
            <w:r>
              <w:rPr>
                <w:rFonts w:ascii="Times New Roman;serif" w:hAnsi="Times New Roman;serif"/>
                <w:b/>
                <w:color w:val="000000"/>
                <w:sz w:val="18"/>
              </w:rPr>
              <w:t>(1)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999999"/>
          <w:sz w:val="18"/>
        </w:rPr>
      </w:pPr>
      <w:r>
        <w:rPr>
          <w:rFonts w:ascii="Times New Roman;serif" w:hAnsi="Times New Roman;serif"/>
          <w:b/>
          <w:i/>
          <w:color w:val="999999"/>
          <w:sz w:val="18"/>
        </w:rPr>
        <w:t>(In millions, unaudited)</w:t>
      </w:r>
    </w:p>
    <w:tbl>
      <w:tblPr>
        <w:tblW w:w="9795" w:type="dxa"/>
        <w:jc w:val="center"/>
        <w:tblInd w:w="0" w:type="dxa"/>
        <w:tblLayout w:type="fixed"/>
        <w:tblCellMar>
          <w:top w:w="28" w:type="dxa"/>
          <w:left w:w="28" w:type="dxa"/>
          <w:bottom w:w="28" w:type="dxa"/>
          <w:right w:w="28" w:type="dxa"/>
        </w:tblCellMar>
      </w:tblPr>
      <w:tblGrid>
        <w:gridCol w:w="1903"/>
        <w:gridCol w:w="1676"/>
        <w:gridCol w:w="1686"/>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54"/>
      </w:tblGrid>
      <w:tr>
        <w:trPr/>
        <w:tc>
          <w:tcPr>
            <w:tcW w:w="1903"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MH base rental income </w:t>
            </w:r>
            <w:r>
              <w:rPr>
                <w:rFonts w:ascii="Times New Roman;serif" w:hAnsi="Times New Roman;serif"/>
                <w:b w:val="false"/>
                <w:color w:val="000000"/>
                <w:sz w:val="12"/>
              </w:rPr>
              <w:t>(2)</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Rental home income </w:t>
            </w:r>
            <w:r>
              <w:rPr>
                <w:rFonts w:ascii="Times New Roman;serif" w:hAnsi="Times New Roman;serif"/>
                <w:b w:val="false"/>
                <w:color w:val="000000"/>
                <w:sz w:val="12"/>
              </w:rPr>
              <w:t>(2)</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RV and marina base rental income </w:t>
            </w:r>
            <w:r>
              <w:rPr>
                <w:rFonts w:ascii="Times New Roman;serif" w:hAnsi="Times New Roman;serif"/>
                <w:b w:val="false"/>
                <w:color w:val="000000"/>
                <w:sz w:val="12"/>
              </w:rPr>
              <w:t>(2)</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membership subscriptions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upgrade revenue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Utility and other income </w:t>
            </w:r>
            <w:r>
              <w:rPr>
                <w:rFonts w:ascii="Times New Roman;serif" w:hAnsi="Times New Roman;serif"/>
                <w:b w:val="false"/>
                <w:color w:val="000000"/>
                <w:sz w:val="12"/>
              </w:rPr>
              <w:t>(2)(3)</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operating revenues</w:t>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expense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Repairs and maintenance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Insurance and other </w:t>
            </w:r>
            <w:r>
              <w:rPr>
                <w:rFonts w:ascii="Times New Roman;serif" w:hAnsi="Times New Roman;serif"/>
                <w:b w:val="false"/>
                <w:color w:val="000000"/>
                <w:sz w:val="12"/>
              </w:rPr>
              <w:t>(2)</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home operating and maintenance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sales and marketing</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operating expenses, excluding property management</w:t>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color w:val="000000"/>
                <w:sz w:val="18"/>
              </w:rPr>
            </w:pPr>
            <w:r>
              <w:rPr>
                <w:rFonts w:ascii="Times New Roman;serif" w:hAnsi="Times New Roman;serif"/>
                <w:b/>
                <w:color w:val="000000"/>
                <w:sz w:val="18"/>
              </w:rPr>
              <w:t>Income from property operations, excluding property management</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436.6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414.0</w:t>
            </w: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RV and marina base rental income:</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Seasonal</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Transient</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RV and marina base rental income</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______________________</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1.Excludes property management expenses.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2.MH base rental income, Rental home income, RV and marina base rental income and Utility income, net of bad debt expense, are presented in Rental income in the Consolidated Statements of Income on page 3. Bad debt expense is presented in Insurance and other in this table.</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3.Includes approximately $2.2 million and $4.0 million of business interruption income from Hurricane Ian during the quarter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46125"/>
                <wp:effectExtent l="0" t="0" r="0" b="0"/>
                <wp:wrapNone/>
                <wp:docPr id="16" name="Frame15"/>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7</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7</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tbl>
      <w:tblPr>
        <w:tblW w:w="6625" w:type="dxa"/>
        <w:jc w:val="center"/>
        <w:tblInd w:w="0" w:type="dxa"/>
        <w:tblLayout w:type="fixed"/>
        <w:tblCellMar>
          <w:top w:w="28" w:type="dxa"/>
          <w:left w:w="28" w:type="dxa"/>
          <w:bottom w:w="28" w:type="dxa"/>
          <w:right w:w="28" w:type="dxa"/>
        </w:tblCellMar>
      </w:tblPr>
      <w:tblGrid>
        <w:gridCol w:w="485"/>
        <w:gridCol w:w="426"/>
        <w:gridCol w:w="426"/>
        <w:gridCol w:w="426"/>
        <w:gridCol w:w="426"/>
        <w:gridCol w:w="426"/>
        <w:gridCol w:w="426"/>
        <w:gridCol w:w="426"/>
        <w:gridCol w:w="426"/>
        <w:gridCol w:w="426"/>
        <w:gridCol w:w="426"/>
        <w:gridCol w:w="426"/>
        <w:gridCol w:w="426"/>
        <w:gridCol w:w="426"/>
        <w:gridCol w:w="602"/>
      </w:tblGrid>
      <w:tr>
        <w:trPr/>
        <w:tc>
          <w:tcPr>
            <w:tcW w:w="48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6625"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8"/>
              </w:rPr>
              <w:t xml:space="preserve">Income from Property Operations - Core Portfolio </w:t>
            </w:r>
            <w:r>
              <w:rPr>
                <w:rFonts w:ascii="Times New Roman;serif" w:hAnsi="Times New Roman;serif"/>
                <w:b/>
                <w:color w:val="000000"/>
                <w:sz w:val="18"/>
              </w:rPr>
              <w:t>(1)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999999"/>
          <w:sz w:val="18"/>
        </w:rPr>
      </w:pPr>
      <w:r>
        <w:rPr>
          <w:rFonts w:ascii="Times New Roman;serif" w:hAnsi="Times New Roman;serif"/>
          <w:b/>
          <w:i/>
          <w:color w:val="999999"/>
          <w:sz w:val="18"/>
        </w:rPr>
        <w:t>(In millions, unaudited)</w:t>
      </w:r>
    </w:p>
    <w:tbl>
      <w:tblPr>
        <w:tblW w:w="10205" w:type="dxa"/>
        <w:jc w:val="center"/>
        <w:tblInd w:w="0" w:type="dxa"/>
        <w:tblLayout w:type="fixed"/>
        <w:tblCellMar>
          <w:top w:w="28" w:type="dxa"/>
          <w:left w:w="28" w:type="dxa"/>
          <w:bottom w:w="28" w:type="dxa"/>
          <w:right w:w="28" w:type="dxa"/>
        </w:tblCellMar>
      </w:tblPr>
      <w:tblGrid>
        <w:gridCol w:w="1342"/>
        <w:gridCol w:w="986"/>
        <w:gridCol w:w="990"/>
        <w:gridCol w:w="196"/>
        <w:gridCol w:w="571"/>
        <w:gridCol w:w="109"/>
        <w:gridCol w:w="109"/>
        <w:gridCol w:w="109"/>
        <w:gridCol w:w="109"/>
        <w:gridCol w:w="196"/>
        <w:gridCol w:w="571"/>
        <w:gridCol w:w="109"/>
        <w:gridCol w:w="109"/>
        <w:gridCol w:w="109"/>
        <w:gridCol w:w="109"/>
        <w:gridCol w:w="264"/>
        <w:gridCol w:w="264"/>
        <w:gridCol w:w="265"/>
        <w:gridCol w:w="109"/>
        <w:gridCol w:w="109"/>
        <w:gridCol w:w="109"/>
        <w:gridCol w:w="196"/>
        <w:gridCol w:w="571"/>
        <w:gridCol w:w="109"/>
        <w:gridCol w:w="109"/>
        <w:gridCol w:w="109"/>
        <w:gridCol w:w="109"/>
        <w:gridCol w:w="196"/>
        <w:gridCol w:w="571"/>
        <w:gridCol w:w="109"/>
        <w:gridCol w:w="109"/>
        <w:gridCol w:w="109"/>
        <w:gridCol w:w="109"/>
        <w:gridCol w:w="240"/>
        <w:gridCol w:w="226"/>
        <w:gridCol w:w="489"/>
      </w:tblGrid>
      <w:tr>
        <w:trPr/>
        <w:tc>
          <w:tcPr>
            <w:tcW w:w="134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color w:val="000000"/>
                <w:sz w:val="18"/>
              </w:rPr>
              <w:t xml:space="preserve">Change </w:t>
            </w:r>
            <w:r>
              <w:rPr>
                <w:rFonts w:ascii="Times New Roman;serif" w:hAnsi="Times New Roman;serif"/>
                <w:b/>
                <w:i/>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color w:val="000000"/>
                <w:sz w:val="18"/>
              </w:rPr>
              <w:t xml:space="preserve">Change </w:t>
            </w:r>
            <w:r>
              <w:rPr>
                <w:rFonts w:ascii="Times New Roman;serif" w:hAnsi="Times New Roman;serif"/>
                <w:b/>
                <w:i/>
                <w:color w:val="000000"/>
                <w:sz w:val="12"/>
              </w:rPr>
              <w:t>(2)</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MH base rental income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5.7 </w:t>
            </w:r>
          </w:p>
        </w:tc>
        <w:tc>
          <w:tcPr>
            <w:tcW w:w="4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home income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10.5 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RV and marina base rental income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0.1 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membership subscriptions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11.2 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upgrade revenue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and other income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6.0 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operating revenues</w:t>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4.3 </w:t>
            </w:r>
          </w:p>
        </w:tc>
        <w:tc>
          <w:tcPr>
            <w:tcW w:w="4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expense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3.7 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1.1 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Repairs and maintenance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5.5 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Insurance and other</w:t>
            </w:r>
            <w:r>
              <w:rPr>
                <w:color w:val="000000"/>
              </w:rPr>
              <w:t xml:space="preserve"> </w:t>
            </w:r>
            <w:r>
              <w:rPr>
                <w:rFonts w:ascii="Times New Roman;serif" w:hAnsi="Times New Roman;serif"/>
                <w:b w:val="false"/>
                <w:color w:val="000000"/>
                <w:sz w:val="12"/>
              </w:rPr>
              <w:t>(3)</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(1.2)</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1.0 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home operating and maintenance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13.1 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sales and marketing</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5.7 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operating expenses, excluding property management </w:t>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2.3 </w:t>
            </w:r>
          </w:p>
        </w:tc>
        <w:tc>
          <w:tcPr>
            <w:tcW w:w="4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from property operations, excluding property management</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206.1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193.5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430.7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407.5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5.7</w:t>
            </w:r>
            <w:r>
              <w:rPr>
                <w:color w:val="000000"/>
              </w:rPr>
              <w:t> </w:t>
            </w:r>
          </w:p>
        </w:tc>
        <w:tc>
          <w:tcPr>
            <w:tcW w:w="4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_____________________</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1.Excludes property management expenses.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2.Calculations prepared using actual results without rounding.</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3.Includes bad debt expense for the periods presented.</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46125"/>
                <wp:effectExtent l="0" t="0" r="0" b="0"/>
                <wp:wrapNone/>
                <wp:docPr id="17" name="Frame16"/>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8</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8</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tbl>
      <w:tblPr>
        <w:tblW w:w="7356" w:type="dxa"/>
        <w:jc w:val="left"/>
        <w:tblInd w:w="0" w:type="dxa"/>
        <w:tblLayout w:type="fixed"/>
        <w:tblCellMar>
          <w:top w:w="28" w:type="dxa"/>
          <w:left w:w="28" w:type="dxa"/>
          <w:bottom w:w="28" w:type="dxa"/>
          <w:right w:w="28" w:type="dxa"/>
        </w:tblCellMar>
      </w:tblPr>
      <w:tblGrid>
        <w:gridCol w:w="538"/>
        <w:gridCol w:w="473"/>
        <w:gridCol w:w="473"/>
        <w:gridCol w:w="473"/>
        <w:gridCol w:w="473"/>
        <w:gridCol w:w="473"/>
        <w:gridCol w:w="473"/>
        <w:gridCol w:w="473"/>
        <w:gridCol w:w="473"/>
        <w:gridCol w:w="473"/>
        <w:gridCol w:w="473"/>
        <w:gridCol w:w="473"/>
        <w:gridCol w:w="473"/>
        <w:gridCol w:w="473"/>
        <w:gridCol w:w="669"/>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7356"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8"/>
              </w:rPr>
              <w:t xml:space="preserve">Income from Property Operations - Core Portfolio </w:t>
            </w:r>
            <w:r>
              <w:rPr>
                <w:rFonts w:ascii="Times New Roman;serif" w:hAnsi="Times New Roman;serif"/>
                <w:b/>
                <w:color w:val="000000"/>
                <w:sz w:val="20"/>
              </w:rPr>
              <w:t>(continued)</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999999"/>
          <w:sz w:val="18"/>
        </w:rPr>
      </w:pPr>
      <w:r>
        <w:rPr>
          <w:rFonts w:ascii="Times New Roman;serif" w:hAnsi="Times New Roman;serif"/>
          <w:b/>
          <w:i/>
          <w:color w:val="999999"/>
          <w:sz w:val="18"/>
        </w:rPr>
        <w:t xml:space="preserve">(In millions, except home site and occupancy figures, unaudited) </w:t>
      </w:r>
    </w:p>
    <w:tbl>
      <w:tblPr>
        <w:tblW w:w="10205" w:type="dxa"/>
        <w:jc w:val="center"/>
        <w:tblInd w:w="0" w:type="dxa"/>
        <w:tblLayout w:type="fixed"/>
        <w:tblCellMar>
          <w:top w:w="28" w:type="dxa"/>
          <w:left w:w="28" w:type="dxa"/>
          <w:bottom w:w="28" w:type="dxa"/>
          <w:right w:w="28" w:type="dxa"/>
        </w:tblCellMar>
      </w:tblPr>
      <w:tblGrid>
        <w:gridCol w:w="1047"/>
        <w:gridCol w:w="921"/>
        <w:gridCol w:w="926"/>
        <w:gridCol w:w="196"/>
        <w:gridCol w:w="556"/>
        <w:gridCol w:w="256"/>
        <w:gridCol w:w="109"/>
        <w:gridCol w:w="109"/>
        <w:gridCol w:w="109"/>
        <w:gridCol w:w="196"/>
        <w:gridCol w:w="556"/>
        <w:gridCol w:w="256"/>
        <w:gridCol w:w="109"/>
        <w:gridCol w:w="109"/>
        <w:gridCol w:w="109"/>
        <w:gridCol w:w="265"/>
        <w:gridCol w:w="265"/>
        <w:gridCol w:w="267"/>
        <w:gridCol w:w="109"/>
        <w:gridCol w:w="109"/>
        <w:gridCol w:w="109"/>
        <w:gridCol w:w="196"/>
        <w:gridCol w:w="556"/>
        <w:gridCol w:w="256"/>
        <w:gridCol w:w="109"/>
        <w:gridCol w:w="109"/>
        <w:gridCol w:w="109"/>
        <w:gridCol w:w="196"/>
        <w:gridCol w:w="556"/>
        <w:gridCol w:w="256"/>
        <w:gridCol w:w="109"/>
        <w:gridCol w:w="109"/>
        <w:gridCol w:w="109"/>
        <w:gridCol w:w="246"/>
        <w:gridCol w:w="246"/>
        <w:gridCol w:w="355"/>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Core manufactured home site figures and occupancy:</w:t>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sites, beginning</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73,170 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73,170 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Expansion sites, net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sites, ending</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73,311 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72,801 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73,311 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72,801 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Occupied sites, beginning</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68,698 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68,752 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68,644 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Occupied sites, ending</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68,711 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68,712 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68,711 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68,712 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average %</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Monthly base average rent per site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color w:val="000000"/>
                <w:sz w:val="18"/>
              </w:rPr>
              <w:t xml:space="preserve">Change </w:t>
            </w:r>
            <w:r>
              <w:rPr>
                <w:rFonts w:ascii="Times New Roman;serif" w:hAnsi="Times New Roman;serif"/>
                <w:b/>
                <w:i/>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color w:val="000000"/>
                <w:sz w:val="18"/>
              </w:rPr>
              <w:t xml:space="preserve">Change </w:t>
            </w:r>
            <w:r>
              <w:rPr>
                <w:rFonts w:ascii="Times New Roman;serif" w:hAnsi="Times New Roman;serif"/>
                <w:b/>
                <w:i/>
                <w:color w:val="000000"/>
                <w:sz w:val="12"/>
              </w:rPr>
              <w:t>(1)</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Core RV and marina base rental income:</w:t>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Annual</w:t>
            </w:r>
            <w:r>
              <w:rPr>
                <w:color w:val="000000"/>
              </w:rPr>
              <w:t xml:space="preserve"> </w:t>
            </w:r>
            <w:r>
              <w:rPr>
                <w:rFonts w:ascii="Times New Roman;serif" w:hAnsi="Times New Roman;serif"/>
                <w:b w:val="false"/>
                <w:color w:val="000000"/>
                <w:sz w:val="12"/>
              </w:rPr>
              <w:t>(2)</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4.8%</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Seasonal</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(14.1)%</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Transient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(8.1)%</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Seasonal and Transient</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(11.2)%</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RV and marina base rental income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0.1%</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color w:val="000000"/>
                <w:sz w:val="18"/>
              </w:rPr>
              <w:t xml:space="preserve">Change </w:t>
            </w:r>
            <w:r>
              <w:rPr>
                <w:rFonts w:ascii="Times New Roman;serif" w:hAnsi="Times New Roman;serif"/>
                <w:b/>
                <w:i/>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color w:val="000000"/>
                <w:sz w:val="18"/>
              </w:rPr>
              <w:t xml:space="preserve">Change </w:t>
            </w:r>
            <w:r>
              <w:rPr>
                <w:rFonts w:ascii="Times New Roman;serif" w:hAnsi="Times New Roman;serif"/>
                <w:b/>
                <w:i/>
                <w:color w:val="000000"/>
                <w:sz w:val="12"/>
              </w:rPr>
              <w:t>(1)</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Core utility information:</w:t>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8.6%</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3.7%</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net</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(0.8)%</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Utility recovery rate </w:t>
            </w:r>
            <w:r>
              <w:rPr>
                <w:rFonts w:ascii="Times New Roman;serif" w:hAnsi="Times New Roman;serif"/>
                <w:b w:val="false"/>
                <w:color w:val="000000"/>
                <w:sz w:val="12"/>
              </w:rPr>
              <w:t>(3)</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_____________________</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1.Calculations prepared using actual results without rounding.</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2.Core Annual marina base rental income represents approximately 99% of the total Core marina base rental income for all periods presented.</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3.Calculated by dividing utility income by utility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46125"/>
                <wp:effectExtent l="0" t="0" r="0" b="0"/>
                <wp:wrapNone/>
                <wp:docPr id="18" name="Frame17"/>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9</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9</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tbl>
      <w:tblPr>
        <w:tblW w:w="7233" w:type="dxa"/>
        <w:jc w:val="center"/>
        <w:tblInd w:w="0" w:type="dxa"/>
        <w:tblLayout w:type="fixed"/>
        <w:tblCellMar>
          <w:top w:w="28" w:type="dxa"/>
          <w:left w:w="28" w:type="dxa"/>
          <w:bottom w:w="28" w:type="dxa"/>
          <w:right w:w="28" w:type="dxa"/>
        </w:tblCellMar>
      </w:tblPr>
      <w:tblGrid>
        <w:gridCol w:w="530"/>
        <w:gridCol w:w="465"/>
        <w:gridCol w:w="465"/>
        <w:gridCol w:w="465"/>
        <w:gridCol w:w="465"/>
        <w:gridCol w:w="465"/>
        <w:gridCol w:w="465"/>
        <w:gridCol w:w="465"/>
        <w:gridCol w:w="465"/>
        <w:gridCol w:w="465"/>
        <w:gridCol w:w="465"/>
        <w:gridCol w:w="465"/>
        <w:gridCol w:w="465"/>
        <w:gridCol w:w="465"/>
        <w:gridCol w:w="658"/>
      </w:tblGrid>
      <w:tr>
        <w:trPr/>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7233"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8"/>
              </w:rPr>
              <w:t xml:space="preserve">Income from Property Operations - Non-Core Portfolio </w:t>
            </w:r>
            <w:r>
              <w:rPr>
                <w:rFonts w:ascii="Times New Roman;serif" w:hAnsi="Times New Roman;serif"/>
                <w:b/>
                <w:color w:val="000000"/>
                <w:sz w:val="18"/>
              </w:rPr>
              <w:t>(1)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999999"/>
          <w:sz w:val="18"/>
        </w:rPr>
      </w:pPr>
      <w:r>
        <w:rPr>
          <w:rFonts w:ascii="Times New Roman;serif" w:hAnsi="Times New Roman;serif"/>
          <w:b/>
          <w:i/>
          <w:color w:val="999999"/>
          <w:sz w:val="18"/>
        </w:rPr>
        <w:t>(In millions, unaudited)</w:t>
      </w:r>
    </w:p>
    <w:tbl>
      <w:tblPr>
        <w:tblW w:w="8455" w:type="dxa"/>
        <w:jc w:val="center"/>
        <w:tblInd w:w="0" w:type="dxa"/>
        <w:tblLayout w:type="fixed"/>
        <w:tblCellMar>
          <w:top w:w="28" w:type="dxa"/>
          <w:left w:w="28" w:type="dxa"/>
          <w:bottom w:w="28" w:type="dxa"/>
          <w:right w:w="28" w:type="dxa"/>
        </w:tblCellMar>
      </w:tblPr>
      <w:tblGrid>
        <w:gridCol w:w="1902"/>
        <w:gridCol w:w="1679"/>
        <w:gridCol w:w="1684"/>
        <w:gridCol w:w="359"/>
        <w:gridCol w:w="716"/>
        <w:gridCol w:w="199"/>
        <w:gridCol w:w="109"/>
        <w:gridCol w:w="109"/>
        <w:gridCol w:w="109"/>
        <w:gridCol w:w="419"/>
        <w:gridCol w:w="838"/>
        <w:gridCol w:w="332"/>
      </w:tblGrid>
      <w:tr>
        <w:trPr/>
        <w:tc>
          <w:tcPr>
            <w:tcW w:w="190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MH base rental income</w:t>
            </w:r>
          </w:p>
        </w:tc>
        <w:tc>
          <w:tcPr>
            <w:tcW w:w="3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home income</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RV and marina base rental income</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membership subscriptions</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and other income</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operating revenues</w:t>
            </w:r>
          </w:p>
        </w:tc>
        <w:tc>
          <w:tcPr>
            <w:tcW w:w="107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3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Property operating expenses, excluding property management </w:t>
            </w:r>
            <w:r>
              <w:rPr>
                <w:rFonts w:ascii="Times New Roman;serif" w:hAnsi="Times New Roman;serif"/>
                <w:b w:val="false"/>
                <w:color w:val="000000"/>
                <w:sz w:val="12"/>
              </w:rPr>
              <w:t>(2)</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property operations, excluding property management</w:t>
            </w:r>
          </w:p>
        </w:tc>
        <w:tc>
          <w:tcPr>
            <w:tcW w:w="3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w:t>
            </w:r>
            <w:r>
              <w:rPr>
                <w:color w:val="000000"/>
              </w:rPr>
              <w:t> </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w:t>
            </w:r>
            <w:r>
              <w:rPr>
                <w:color w:val="000000"/>
              </w:rPr>
              <w:t> </w:t>
            </w:r>
          </w:p>
        </w:tc>
        <w:tc>
          <w:tcPr>
            <w:tcW w:w="3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______________________ </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1.Excludes property management expenses.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2.Includes bad debt expense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46125"/>
                <wp:effectExtent l="0" t="0" r="0" b="0"/>
                <wp:wrapNone/>
                <wp:docPr id="19" name="Frame18"/>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10</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10</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tbl>
      <w:tblPr>
        <w:tblW w:w="5272" w:type="dxa"/>
        <w:jc w:val="center"/>
        <w:tblInd w:w="0" w:type="dxa"/>
        <w:tblLayout w:type="fixed"/>
        <w:tblCellMar>
          <w:top w:w="28" w:type="dxa"/>
          <w:left w:w="28" w:type="dxa"/>
          <w:bottom w:w="28" w:type="dxa"/>
          <w:right w:w="28" w:type="dxa"/>
        </w:tblCellMar>
      </w:tblPr>
      <w:tblGrid>
        <w:gridCol w:w="386"/>
        <w:gridCol w:w="339"/>
        <w:gridCol w:w="339"/>
        <w:gridCol w:w="339"/>
        <w:gridCol w:w="339"/>
        <w:gridCol w:w="339"/>
        <w:gridCol w:w="339"/>
        <w:gridCol w:w="339"/>
        <w:gridCol w:w="339"/>
        <w:gridCol w:w="339"/>
        <w:gridCol w:w="339"/>
        <w:gridCol w:w="339"/>
        <w:gridCol w:w="339"/>
        <w:gridCol w:w="339"/>
        <w:gridCol w:w="479"/>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5272"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Home Sales and Rental Home Operations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999999"/>
          <w:sz w:val="18"/>
        </w:rPr>
      </w:pPr>
      <w:r>
        <w:rPr>
          <w:rFonts w:ascii="Times New Roman;serif" w:hAnsi="Times New Roman;serif"/>
          <w:b/>
          <w:i/>
          <w:color w:val="999999"/>
          <w:sz w:val="18"/>
        </w:rPr>
        <w:t>(In thousands, except home sale volumes and occupied rentals, unaudited)</w:t>
      </w:r>
    </w:p>
    <w:p>
      <w:pPr>
        <w:pStyle w:val="TextBody"/>
        <w:bidi w:val="0"/>
        <w:spacing w:before="0" w:after="0"/>
        <w:jc w:val="left"/>
        <w:rPr/>
      </w:pPr>
      <w:r>
        <w:rPr/>
      </w:r>
    </w:p>
    <w:tbl>
      <w:tblPr>
        <w:tblW w:w="7499" w:type="dxa"/>
        <w:jc w:val="left"/>
        <w:tblInd w:w="0" w:type="dxa"/>
        <w:tblLayout w:type="fixed"/>
        <w:tblCellMar>
          <w:top w:w="28" w:type="dxa"/>
          <w:left w:w="28" w:type="dxa"/>
          <w:bottom w:w="28" w:type="dxa"/>
          <w:right w:w="28" w:type="dxa"/>
        </w:tblCellMar>
      </w:tblPr>
      <w:tblGrid>
        <w:gridCol w:w="1031"/>
        <w:gridCol w:w="905"/>
        <w:gridCol w:w="913"/>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Home Sales - Select Data</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new home sales volume</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home sales gross revenues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used home sales volume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home sales gross revenues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Brokered home resales volume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Brokered home resales gross revenues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260" w:type="dxa"/>
        <w:jc w:val="left"/>
        <w:tblInd w:w="0" w:type="dxa"/>
        <w:tblLayout w:type="fixed"/>
        <w:tblCellMar>
          <w:top w:w="28" w:type="dxa"/>
          <w:left w:w="28" w:type="dxa"/>
          <w:bottom w:w="28" w:type="dxa"/>
          <w:right w:w="28" w:type="dxa"/>
        </w:tblCellMar>
      </w:tblPr>
      <w:tblGrid>
        <w:gridCol w:w="944"/>
        <w:gridCol w:w="829"/>
        <w:gridCol w:w="837"/>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9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Rental Homes - Select Data</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Rental operations revenues </w:t>
            </w:r>
            <w:r>
              <w:rPr>
                <w:rFonts w:ascii="Times New Roman;serif" w:hAnsi="Times New Roman;serif"/>
                <w:b w:val="false"/>
                <w:color w:val="000000"/>
                <w:sz w:val="12"/>
              </w:rPr>
              <w:t>(1)</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Rental home operations expense</w:t>
            </w:r>
            <w:r>
              <w:rPr>
                <w:color w:val="000000"/>
              </w:rPr>
              <w:t xml:space="preserve"> </w:t>
            </w:r>
            <w:r>
              <w:rPr>
                <w:rFonts w:ascii="Times New Roman;serif" w:hAnsi="Times New Roman;serif"/>
                <w:b w:val="false"/>
                <w:color w:val="000000"/>
                <w:sz w:val="12"/>
              </w:rPr>
              <w:t>(2)</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Depreciation on rental homes </w:t>
            </w:r>
            <w:r>
              <w:rPr>
                <w:rFonts w:ascii="Times New Roman;serif" w:hAnsi="Times New Roman;serif"/>
                <w:b w:val="false"/>
                <w:color w:val="000000"/>
                <w:sz w:val="12"/>
              </w:rPr>
              <w:t>(3)</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Occupied rentals:</w:t>
            </w:r>
            <w:r>
              <w:rPr>
                <w:color w:val="000000"/>
              </w:rPr>
              <w:t xml:space="preserve"> </w:t>
            </w:r>
            <w:r>
              <w:rPr>
                <w:rFonts w:ascii="Times New Roman;serif" w:hAnsi="Times New Roman;serif"/>
                <w:b/>
                <w:color w:val="000000"/>
                <w:sz w:val="12"/>
              </w:rPr>
              <w:t>(4)</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occupied rental sites</w:t>
            </w:r>
          </w:p>
        </w:tc>
        <w:tc>
          <w:tcPr>
            <w:tcW w:w="75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686" w:type="dxa"/>
        <w:jc w:val="left"/>
        <w:tblInd w:w="0" w:type="dxa"/>
        <w:tblLayout w:type="fixed"/>
        <w:tblCellMar>
          <w:top w:w="28" w:type="dxa"/>
          <w:left w:w="28" w:type="dxa"/>
          <w:bottom w:w="28" w:type="dxa"/>
          <w:right w:w="28" w:type="dxa"/>
        </w:tblCellMar>
      </w:tblPr>
      <w:tblGrid>
        <w:gridCol w:w="870"/>
        <w:gridCol w:w="763"/>
        <w:gridCol w:w="767"/>
        <w:gridCol w:w="196"/>
        <w:gridCol w:w="736"/>
        <w:gridCol w:w="109"/>
        <w:gridCol w:w="109"/>
        <w:gridCol w:w="109"/>
        <w:gridCol w:w="109"/>
        <w:gridCol w:w="298"/>
        <w:gridCol w:w="1124"/>
        <w:gridCol w:w="167"/>
        <w:gridCol w:w="109"/>
        <w:gridCol w:w="109"/>
        <w:gridCol w:w="109"/>
        <w:gridCol w:w="196"/>
        <w:gridCol w:w="736"/>
        <w:gridCol w:w="109"/>
        <w:gridCol w:w="109"/>
        <w:gridCol w:w="109"/>
        <w:gridCol w:w="109"/>
        <w:gridCol w:w="294"/>
        <w:gridCol w:w="1108"/>
        <w:gridCol w:w="232"/>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Cost basis in rental homes: </w:t>
            </w:r>
            <w:r>
              <w:rPr>
                <w:rFonts w:ascii="Times New Roman;serif" w:hAnsi="Times New Roman;serif"/>
                <w:b/>
                <w:color w:val="000000"/>
                <w:sz w:val="12"/>
              </w:rPr>
              <w:t>(5)</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of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of Depreciation</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237,937 </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188,686 </w:t>
            </w:r>
          </w:p>
        </w:tc>
        <w:tc>
          <w:tcPr>
            <w:tcW w:w="2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6,513 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rental homes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298,349 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251,345 </w:t>
            </w:r>
          </w:p>
        </w:tc>
        <w:tc>
          <w:tcPr>
            <w:tcW w:w="1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237,749 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195,199 </w:t>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______________________ </w:t>
      </w:r>
    </w:p>
    <w:p>
      <w:pPr>
        <w:pStyle w:val="TextBody"/>
        <w:bidi w:val="0"/>
        <w:spacing w:lineRule="auto" w:line="288" w:before="0" w:after="0"/>
        <w:ind w:left="0" w:right="0" w:hanging="270"/>
        <w:jc w:val="both"/>
        <w:rPr/>
      </w:pPr>
      <w:r>
        <w:rPr>
          <w:rFonts w:ascii="Times New Roman;serif" w:hAnsi="Times New Roman;serif"/>
          <w:b w:val="false"/>
          <w:color w:val="000000"/>
          <w:sz w:val="16"/>
        </w:rPr>
        <w:t>1.For the quarters ended June 30, 2026 and 2025, approximately $6.0 million</w:t>
      </w:r>
      <w:r>
        <w:rPr>
          <w:color w:val="EE2724"/>
        </w:rPr>
        <w:t xml:space="preserve"> </w:t>
      </w:r>
      <w:r>
        <w:rPr>
          <w:rFonts w:ascii="Times New Roman;serif" w:hAnsi="Times New Roman;serif"/>
          <w:b w:val="false"/>
          <w:color w:val="000000"/>
          <w:sz w:val="16"/>
        </w:rPr>
        <w:t>and</w:t>
      </w:r>
      <w:r>
        <w:rPr>
          <w:color w:val="EE2724"/>
        </w:rPr>
        <w:t xml:space="preserve"> </w:t>
      </w:r>
      <w:r>
        <w:rPr>
          <w:rFonts w:ascii="Times New Roman;serif" w:hAnsi="Times New Roman;serif"/>
          <w:b w:val="false"/>
          <w:color w:val="000000"/>
          <w:sz w:val="16"/>
        </w:rPr>
        <w:t>$5.2 million, respectively, of the rental operations revenue is included in the MH base rental income in the Income from Property Operations - Core Portfolio on pages 8-9. The remainder of the rental operations revenue for the quarters ended June 30, 2026 and 2025 is included in Rental home income in the Income from Property Operations - Core Portfolio on pages 8-9.</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2.Rental home operations expense is included in Rental home operating and maintenance in the Income from Property Operations - Total Portfolio on page 7. Rental home operations expense is included in Rental home operating and maintenance in the Income from Property Operations - Core Portfolio on pages 8-9.</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3.Depreciation on rental homes in our Core Portfolio is presented in Depreciation and amortization in the Consolidated Statements of Income on page 3.</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4.Includes occupied rental sites as of the end of the period in our Core Portfolio.</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5.Includes both occupied and unoccupied rental homes in our Core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46125"/>
                <wp:effectExtent l="0" t="0" r="0" b="0"/>
                <wp:wrapNone/>
                <wp:docPr id="20" name="Frame19"/>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11</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11</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Total Sites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999999"/>
          <w:sz w:val="18"/>
        </w:rPr>
      </w:pPr>
      <w:r>
        <w:rPr>
          <w:rFonts w:ascii="Times New Roman;serif" w:hAnsi="Times New Roman;serif"/>
          <w:b/>
          <w:i/>
          <w:color w:val="999999"/>
          <w:sz w:val="18"/>
        </w:rPr>
        <w:t>(Unaudited)</w:t>
      </w:r>
    </w:p>
    <w:tbl>
      <w:tblPr>
        <w:tblW w:w="4479" w:type="dxa"/>
        <w:jc w:val="center"/>
        <w:tblInd w:w="0" w:type="dxa"/>
        <w:tblLayout w:type="fixed"/>
        <w:tblCellMar>
          <w:top w:w="28" w:type="dxa"/>
          <w:left w:w="28" w:type="dxa"/>
          <w:bottom w:w="28" w:type="dxa"/>
          <w:right w:w="28" w:type="dxa"/>
        </w:tblCellMar>
      </w:tblPr>
      <w:tblGrid>
        <w:gridCol w:w="1244"/>
        <w:gridCol w:w="1093"/>
        <w:gridCol w:w="1097"/>
        <w:gridCol w:w="375"/>
        <w:gridCol w:w="376"/>
        <w:gridCol w:w="29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Summary of Total Sites as of June 30, 2026</w:t>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Sites </w:t>
            </w:r>
            <w:r>
              <w:rPr>
                <w:rFonts w:ascii="Times New Roman;serif" w:hAnsi="Times New Roman;serif"/>
                <w:b/>
                <w:color w:val="000000"/>
                <w:sz w:val="12"/>
              </w:rPr>
              <w:t>(1)</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MH sites </w:t>
            </w:r>
            <w:r>
              <w:rPr>
                <w:rFonts w:ascii="Times New Roman;serif" w:hAnsi="Times New Roman;serif"/>
                <w:b w:val="false"/>
                <w:color w:val="000000"/>
                <w:sz w:val="12"/>
              </w:rPr>
              <w:t>(2)</w:t>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75,900 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RV sites:</w:t>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Annual </w:t>
            </w:r>
            <w:r>
              <w:rPr>
                <w:rFonts w:ascii="Times New Roman;serif" w:hAnsi="Times New Roman;serif"/>
                <w:b w:val="false"/>
                <w:color w:val="000000"/>
                <w:sz w:val="12"/>
              </w:rPr>
              <w:t>(2)</w:t>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Seasonal</w:t>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Transient </w:t>
            </w:r>
            <w:r>
              <w:rPr>
                <w:rFonts w:ascii="Times New Roman;serif" w:hAnsi="Times New Roman;serif"/>
                <w:b w:val="false"/>
                <w:color w:val="000000"/>
                <w:sz w:val="12"/>
              </w:rPr>
              <w:t>(2)</w:t>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Marina slips</w:t>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Membership</w:t>
            </w:r>
            <w:r>
              <w:rPr>
                <w:color w:val="000000"/>
              </w:rPr>
              <w:t xml:space="preserve"> </w:t>
            </w:r>
            <w:r>
              <w:rPr>
                <w:rFonts w:ascii="Times New Roman;serif" w:hAnsi="Times New Roman;serif"/>
                <w:b w:val="false"/>
                <w:color w:val="000000"/>
                <w:sz w:val="12"/>
              </w:rPr>
              <w:t>(3)</w:t>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75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173,600</w:t>
            </w:r>
            <w:r>
              <w:rPr>
                <w:color w:val="000000"/>
              </w:rPr>
              <w:t> </w:t>
            </w:r>
          </w:p>
        </w:tc>
        <w:tc>
          <w:tcPr>
            <w:tcW w:w="2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______________________ </w:t>
      </w:r>
    </w:p>
    <w:p>
      <w:pPr>
        <w:pStyle w:val="TextBody"/>
        <w:bidi w:val="0"/>
        <w:spacing w:lineRule="auto" w:line="288" w:before="0" w:after="0"/>
        <w:ind w:left="0" w:right="0" w:hanging="270"/>
        <w:jc w:val="both"/>
        <w:rPr/>
      </w:pPr>
      <w:r>
        <w:rPr>
          <w:rFonts w:ascii="Times New Roman;serif" w:hAnsi="Times New Roman;serif"/>
          <w:b w:val="false"/>
          <w:color w:val="000000"/>
          <w:sz w:val="16"/>
        </w:rPr>
        <w:t>1.MH sites are generally leased on an annual basis to residents who own or lease factory-built homes, including manufactured homes. Annual RV and marina sites are leased on an annual basis to customers who generally have an RV, factory-built cottage, boat or other unit placed on the site, including those Northern properties that are open for the summer season.</w:t>
      </w:r>
      <w:r>
        <w:rPr>
          <w:color w:val="323130"/>
        </w:rPr>
        <w:t xml:space="preserve"> </w:t>
      </w:r>
      <w:r>
        <w:rPr>
          <w:rFonts w:ascii="Times New Roman;serif" w:hAnsi="Times New Roman;serif"/>
          <w:b w:val="false"/>
          <w:color w:val="000000"/>
          <w:sz w:val="16"/>
        </w:rPr>
        <w:t>Seasonal RV and marina sites are leased to customers generally for one to six months. Transient RV and marina sites are sites without an annual or seasonal reservation and are available to be leased to customers on a short-term basis.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2.MH, Annual RV and Transient RV sites include approximately 2,100, 200 and 300 joint venture sites, respectively. </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3.Sites primarily utilized by approximately 107,900 members. Includes approximately 6,000 sites rented on an annual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46125"/>
                <wp:effectExtent l="0" t="0" r="0" b="0"/>
                <wp:wrapNone/>
                <wp:docPr id="21" name="Frame20"/>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12</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12</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tbl>
      <w:tblPr>
        <w:tblW w:w="5167" w:type="dxa"/>
        <w:jc w:val="center"/>
        <w:tblInd w:w="0" w:type="dxa"/>
        <w:tblLayout w:type="fixed"/>
        <w:tblCellMar>
          <w:top w:w="28" w:type="dxa"/>
          <w:left w:w="28" w:type="dxa"/>
          <w:bottom w:w="28" w:type="dxa"/>
          <w:right w:w="28" w:type="dxa"/>
        </w:tblCellMar>
      </w:tblPr>
      <w:tblGrid>
        <w:gridCol w:w="376"/>
        <w:gridCol w:w="331"/>
        <w:gridCol w:w="331"/>
        <w:gridCol w:w="331"/>
        <w:gridCol w:w="331"/>
        <w:gridCol w:w="331"/>
        <w:gridCol w:w="331"/>
        <w:gridCol w:w="331"/>
        <w:gridCol w:w="331"/>
        <w:gridCol w:w="331"/>
        <w:gridCol w:w="331"/>
        <w:gridCol w:w="331"/>
        <w:gridCol w:w="331"/>
        <w:gridCol w:w="331"/>
        <w:gridCol w:w="488"/>
      </w:tblGrid>
      <w:tr>
        <w:trPr/>
        <w:tc>
          <w:tcPr>
            <w:tcW w:w="3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5167"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Membership Campgrounds - Select Data</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24"/>
        <w:gridCol w:w="901"/>
        <w:gridCol w:w="903"/>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380"/>
        <w:gridCol w:w="1256"/>
        <w:gridCol w:w="302"/>
      </w:tblGrid>
      <w:tr>
        <w:trPr/>
        <w:tc>
          <w:tcPr>
            <w:tcW w:w="102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Campground and Membership Revenue </w:t>
            </w:r>
            <w:r>
              <w:rPr>
                <w:rFonts w:ascii="Times New Roman;serif" w:hAnsi="Times New Roman;serif"/>
                <w:b/>
                <w:color w:val="000000"/>
                <w:sz w:val="12"/>
              </w:rPr>
              <w:t>(1)</w:t>
            </w:r>
          </w:p>
          <w:p>
            <w:pPr>
              <w:pStyle w:val="TableContents"/>
              <w:bidi w:val="0"/>
              <w:spacing w:lineRule="auto" w:line="240" w:before="0" w:after="0"/>
              <w:jc w:val="left"/>
              <w:rPr>
                <w:rFonts w:ascii="Times New Roman;serif" w:hAnsi="Times New Roman;serif"/>
                <w:b/>
                <w:i/>
                <w:color w:val="999999"/>
                <w:sz w:val="18"/>
              </w:rPr>
            </w:pPr>
            <w:r>
              <w:rPr>
                <w:rFonts w:ascii="Times New Roman;serif" w:hAnsi="Times New Roman;serif"/>
                <w:b/>
                <w:i/>
                <w:color w:val="999999"/>
                <w:sz w:val="18"/>
              </w:rPr>
              <w:t>($ in thousands, 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membership subscriptions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37,118 </w:t>
            </w:r>
          </w:p>
        </w:tc>
        <w:tc>
          <w:tcPr>
            <w:tcW w:w="3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RV base rental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16,079 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Seasonal/Transient RV base rental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upgrade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and 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Membership 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Memberships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107,857 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 Membership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8,768 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Promotional Membership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10,838 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Membership Upgrade Volume </w:t>
            </w:r>
            <w:r>
              <w:rPr>
                <w:rFonts w:ascii="Times New Roman;serif" w:hAnsi="Times New Roman;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Campground Metrics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Campground 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Campground RV Site 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Annual Site Count </w:t>
            </w:r>
            <w:r>
              <w:rPr>
                <w:rFonts w:ascii="Times New Roman;serif" w:hAnsi="Times New Roman;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6,017</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______________________ </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1.Membership upgrade product offerings include two- to four-year term subscription products with increased annual dues. The revenue associated with these subscription products is recognized as Annual membership subscriptions.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2.Members who have entered into annual subscriptions with us that entitle them to use certain properties on a continuous basis for up to 21 days.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3.Upgraded memberships provide enhanced benefits, including but not limited to longer stays, the ability to make earlier reservations, potential discounts on rental units, and potential access to additional properties.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4.Sites that have been rented by members for an entire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46125"/>
                <wp:effectExtent l="0" t="0" r="0" b="0"/>
                <wp:wrapNone/>
                <wp:docPr id="22" name="Frame21"/>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13</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13</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tbl>
      <w:tblPr>
        <w:tblW w:w="2891" w:type="dxa"/>
        <w:jc w:val="center"/>
        <w:tblInd w:w="0" w:type="dxa"/>
        <w:tblLayout w:type="fixed"/>
        <w:tblCellMar>
          <w:top w:w="28" w:type="dxa"/>
          <w:left w:w="28" w:type="dxa"/>
          <w:bottom w:w="28" w:type="dxa"/>
          <w:right w:w="28" w:type="dxa"/>
        </w:tblCellMar>
      </w:tblPr>
      <w:tblGrid>
        <w:gridCol w:w="211"/>
        <w:gridCol w:w="185"/>
        <w:gridCol w:w="185"/>
        <w:gridCol w:w="185"/>
        <w:gridCol w:w="185"/>
        <w:gridCol w:w="185"/>
        <w:gridCol w:w="185"/>
        <w:gridCol w:w="185"/>
        <w:gridCol w:w="185"/>
        <w:gridCol w:w="185"/>
        <w:gridCol w:w="185"/>
        <w:gridCol w:w="185"/>
        <w:gridCol w:w="185"/>
        <w:gridCol w:w="185"/>
        <w:gridCol w:w="275"/>
      </w:tblGrid>
      <w:tr>
        <w:trPr/>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891"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Market Capitalization</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999999"/>
          <w:sz w:val="18"/>
        </w:rPr>
      </w:pPr>
      <w:r>
        <w:rPr>
          <w:rFonts w:ascii="Times New Roman;serif" w:hAnsi="Times New Roman;serif"/>
          <w:b/>
          <w:i/>
          <w:color w:val="999999"/>
          <w:sz w:val="18"/>
        </w:rPr>
        <w:t>(In millions, except share and OP Unit data, unaudited)</w:t>
      </w:r>
    </w:p>
    <w:tbl>
      <w:tblPr>
        <w:tblW w:w="10205" w:type="dxa"/>
        <w:jc w:val="center"/>
        <w:tblInd w:w="0" w:type="dxa"/>
        <w:tblLayout w:type="fixed"/>
        <w:tblCellMar>
          <w:top w:w="28" w:type="dxa"/>
          <w:left w:w="28" w:type="dxa"/>
          <w:bottom w:w="28" w:type="dxa"/>
          <w:right w:w="28" w:type="dxa"/>
        </w:tblCellMar>
      </w:tblPr>
      <w:tblGrid>
        <w:gridCol w:w="886"/>
        <w:gridCol w:w="600"/>
        <w:gridCol w:w="475"/>
        <w:gridCol w:w="506"/>
        <w:gridCol w:w="894"/>
        <w:gridCol w:w="175"/>
        <w:gridCol w:w="109"/>
        <w:gridCol w:w="109"/>
        <w:gridCol w:w="109"/>
        <w:gridCol w:w="459"/>
        <w:gridCol w:w="345"/>
        <w:gridCol w:w="819"/>
        <w:gridCol w:w="109"/>
        <w:gridCol w:w="109"/>
        <w:gridCol w:w="109"/>
        <w:gridCol w:w="196"/>
        <w:gridCol w:w="661"/>
        <w:gridCol w:w="109"/>
        <w:gridCol w:w="109"/>
        <w:gridCol w:w="109"/>
        <w:gridCol w:w="109"/>
        <w:gridCol w:w="285"/>
        <w:gridCol w:w="286"/>
        <w:gridCol w:w="377"/>
        <w:gridCol w:w="109"/>
        <w:gridCol w:w="109"/>
        <w:gridCol w:w="109"/>
        <w:gridCol w:w="402"/>
        <w:gridCol w:w="349"/>
        <w:gridCol w:w="1073"/>
      </w:tblGrid>
      <w:tr>
        <w:trPr/>
        <w:tc>
          <w:tcPr>
            <w:tcW w:w="88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Structure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Common Shares/Units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 Common Shares/Units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 Market Capitalization</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Debt</w:t>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Debt</w:t>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Total Debt </w:t>
            </w:r>
            <w:r>
              <w:rPr>
                <w:rFonts w:ascii="Times New Roman;serif" w:hAnsi="Times New Roman;serif"/>
                <w:b/>
                <w:color w:val="000000"/>
                <w:sz w:val="12"/>
              </w:rPr>
              <w:t>(1)</w:t>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3,336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w:t>
            </w:r>
            <w:r>
              <w:rPr>
                <w:color w:val="000000"/>
              </w:rPr>
              <w:t> </w:t>
            </w:r>
          </w:p>
        </w:tc>
        <w:tc>
          <w:tcPr>
            <w:tcW w:w="3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20.5</w:t>
            </w:r>
            <w:r>
              <w:rPr>
                <w:color w:val="000000"/>
              </w:rPr>
              <w:t> </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w:t>
            </w:r>
          </w:p>
        </w:tc>
        <w:tc>
          <w:tcPr>
            <w:tcW w:w="14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193,972,195 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 Units</w:t>
            </w:r>
          </w:p>
        </w:tc>
        <w:tc>
          <w:tcPr>
            <w:tcW w:w="14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6,433,299 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Common Shares and OP Units</w:t>
            </w:r>
          </w:p>
        </w:tc>
        <w:tc>
          <w:tcPr>
            <w:tcW w:w="14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200,405,494 </w:t>
            </w:r>
          </w:p>
        </w:tc>
        <w:tc>
          <w:tcPr>
            <w:tcW w:w="1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8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price at June 30, 2026</w:t>
            </w:r>
          </w:p>
        </w:tc>
        <w:tc>
          <w:tcPr>
            <w:tcW w:w="5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Common Shares and OP Units</w:t>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12,916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w:t>
            </w:r>
            <w:r>
              <w:rPr>
                <w:color w:val="000000"/>
              </w:rPr>
              <w:t> </w:t>
            </w:r>
          </w:p>
        </w:tc>
        <w:tc>
          <w:tcPr>
            <w:tcW w:w="3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79.5</w:t>
            </w:r>
            <w:r>
              <w:rPr>
                <w:color w:val="000000"/>
              </w:rPr>
              <w:t> </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Market Capitalization</w:t>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w:t>
            </w:r>
            <w:r>
              <w:rPr>
                <w:color w:val="000000"/>
              </w:rPr>
              <w:t> </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______________________ </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Excludes Deferred financing costs, net of approximately $22.5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46125"/>
                <wp:effectExtent l="0" t="0" r="0" b="0"/>
                <wp:wrapNone/>
                <wp:docPr id="23" name="Frame22"/>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14</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14</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tbl>
      <w:tblPr>
        <w:tblW w:w="3173" w:type="dxa"/>
        <w:jc w:val="center"/>
        <w:tblInd w:w="0" w:type="dxa"/>
        <w:tblLayout w:type="fixed"/>
        <w:tblCellMar>
          <w:top w:w="28" w:type="dxa"/>
          <w:left w:w="28" w:type="dxa"/>
          <w:bottom w:w="28" w:type="dxa"/>
          <w:right w:w="28" w:type="dxa"/>
        </w:tblCellMar>
      </w:tblPr>
      <w:tblGrid>
        <w:gridCol w:w="232"/>
        <w:gridCol w:w="204"/>
        <w:gridCol w:w="204"/>
        <w:gridCol w:w="204"/>
        <w:gridCol w:w="204"/>
        <w:gridCol w:w="204"/>
        <w:gridCol w:w="204"/>
        <w:gridCol w:w="204"/>
        <w:gridCol w:w="204"/>
        <w:gridCol w:w="204"/>
        <w:gridCol w:w="204"/>
        <w:gridCol w:w="204"/>
        <w:gridCol w:w="204"/>
        <w:gridCol w:w="204"/>
        <w:gridCol w:w="289"/>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173"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 xml:space="preserve">Debt Maturity Schedule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Debt Maturity Schedule as of June 30, 2026 </w:t>
      </w:r>
    </w:p>
    <w:p>
      <w:pPr>
        <w:pStyle w:val="TextBody"/>
        <w:bidi w:val="0"/>
        <w:spacing w:lineRule="auto" w:line="288" w:before="0" w:after="0"/>
        <w:jc w:val="left"/>
        <w:rPr>
          <w:rFonts w:ascii="Times New Roman;serif" w:hAnsi="Times New Roman;serif"/>
          <w:b/>
          <w:i/>
          <w:color w:val="999999"/>
          <w:sz w:val="18"/>
        </w:rPr>
      </w:pPr>
      <w:r>
        <w:rPr>
          <w:rFonts w:ascii="Times New Roman;serif" w:hAnsi="Times New Roman;serif"/>
          <w:b/>
          <w:i/>
          <w:color w:val="999999"/>
          <w:sz w:val="18"/>
        </w:rPr>
        <w:t>(In thousands, unaudited)</w:t>
      </w:r>
    </w:p>
    <w:tbl>
      <w:tblPr>
        <w:tblW w:w="10205" w:type="dxa"/>
        <w:jc w:val="center"/>
        <w:tblInd w:w="0" w:type="dxa"/>
        <w:tblLayout w:type="fixed"/>
        <w:tblCellMar>
          <w:top w:w="28" w:type="dxa"/>
          <w:left w:w="28" w:type="dxa"/>
          <w:bottom w:w="28" w:type="dxa"/>
          <w:right w:w="28" w:type="dxa"/>
        </w:tblCellMar>
      </w:tblPr>
      <w:tblGrid>
        <w:gridCol w:w="739"/>
        <w:gridCol w:w="632"/>
        <w:gridCol w:w="623"/>
        <w:gridCol w:w="232"/>
        <w:gridCol w:w="1051"/>
        <w:gridCol w:w="129"/>
        <w:gridCol w:w="109"/>
        <w:gridCol w:w="109"/>
        <w:gridCol w:w="109"/>
        <w:gridCol w:w="481"/>
        <w:gridCol w:w="448"/>
        <w:gridCol w:w="1187"/>
        <w:gridCol w:w="109"/>
        <w:gridCol w:w="109"/>
        <w:gridCol w:w="109"/>
        <w:gridCol w:w="335"/>
        <w:gridCol w:w="326"/>
        <w:gridCol w:w="635"/>
        <w:gridCol w:w="109"/>
        <w:gridCol w:w="109"/>
        <w:gridCol w:w="109"/>
        <w:gridCol w:w="701"/>
        <w:gridCol w:w="701"/>
        <w:gridCol w:w="1004"/>
      </w:tblGrid>
      <w:tr>
        <w:trPr/>
        <w:tc>
          <w:tcPr>
            <w:tcW w:w="73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Years to Maturity</w:t>
            </w:r>
          </w:p>
        </w:tc>
      </w:tr>
      <w:tr>
        <w:trPr/>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Secured Debt</w:t>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187,577 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270,228 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275,385 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228,619 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2032</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202,000 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2033</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339,710 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2034</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198,956 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2035</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184,870 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880,414 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12.6</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2,767,759</w:t>
            </w:r>
            <w:r>
              <w:rPr>
                <w:color w:val="000000"/>
              </w:rPr>
              <w:t>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3.77</w:t>
            </w:r>
            <w:r>
              <w:rPr>
                <w:color w:val="000000"/>
              </w:rPr>
              <w:t> </w:t>
            </w:r>
          </w:p>
        </w:tc>
        <w:tc>
          <w:tcPr>
            <w:tcW w:w="11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82.98</w:t>
            </w:r>
            <w:r>
              <w:rPr>
                <w:color w:val="000000"/>
              </w:rPr>
              <w:t> </w:t>
            </w:r>
          </w:p>
        </w:tc>
        <w:tc>
          <w:tcPr>
            <w:tcW w:w="6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7.8</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Unsecured Term Loans</w:t>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240,000 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440,000</w:t>
            </w:r>
            <w:r>
              <w:rPr>
                <w:color w:val="000000"/>
              </w:rPr>
              <w:t>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4.81</w:t>
            </w:r>
            <w:r>
              <w:rPr>
                <w:color w:val="000000"/>
              </w:rPr>
              <w:t> </w:t>
            </w:r>
          </w:p>
        </w:tc>
        <w:tc>
          <w:tcPr>
            <w:tcW w:w="11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13.20</w:t>
            </w:r>
            <w:r>
              <w:rPr>
                <w:color w:val="000000"/>
              </w:rPr>
              <w:t> </w:t>
            </w:r>
          </w:p>
        </w:tc>
        <w:tc>
          <w:tcPr>
            <w:tcW w:w="6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2.4</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Secured and Unsecured</w:t>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3,207,759</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3.91</w:t>
            </w:r>
            <w:r>
              <w:rPr>
                <w:color w:val="000000"/>
              </w:rPr>
              <w:t>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96.18</w:t>
            </w:r>
            <w:r>
              <w:rPr>
                <w:color w:val="000000"/>
              </w:rPr>
              <w:t>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7.0</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Line of Credit Borrowing </w:t>
            </w:r>
            <w:r>
              <w:rPr>
                <w:rFonts w:ascii="Times New Roman;serif" w:hAnsi="Times New Roman;serif"/>
                <w:b/>
                <w:color w:val="000000"/>
                <w:sz w:val="12"/>
              </w:rPr>
              <w:t>(1)</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127,500</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4.97</w:t>
            </w:r>
            <w:r>
              <w:rPr>
                <w:color w:val="000000"/>
              </w:rPr>
              <w:t>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3.82</w:t>
            </w:r>
            <w:r>
              <w:rPr>
                <w:color w:val="000000"/>
              </w:rPr>
              <w:t>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Deferred financing costs, net</w:t>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(22,518)</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Debt, Net</w:t>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3,312,741</w:t>
            </w:r>
            <w:r>
              <w:rPr>
                <w:color w:val="000000"/>
              </w:rPr>
              <w:t>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8"/>
              </w:rPr>
              <w:t xml:space="preserve">4.12%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w:t>
            </w:r>
            <w:r>
              <w:rPr>
                <w:color w:val="000000"/>
              </w:rPr>
              <w:t> </w:t>
            </w:r>
          </w:p>
        </w:tc>
        <w:tc>
          <w:tcPr>
            <w:tcW w:w="6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120" w:after="120"/>
        <w:ind w:left="0" w:right="0" w:firstLine="720"/>
        <w:jc w:val="both"/>
        <w:rPr/>
      </w:pPr>
      <w:r>
        <w:rPr/>
      </w:r>
    </w:p>
    <w:p>
      <w:pPr>
        <w:pStyle w:val="TextBody"/>
        <w:bidi w:val="0"/>
        <w:spacing w:before="120" w:after="120"/>
        <w:ind w:left="0" w:right="0" w:firstLine="720"/>
        <w:jc w:val="both"/>
        <w:rPr/>
      </w:pPr>
      <w:r>
        <w:rPr/>
      </w:r>
    </w:p>
    <w:p>
      <w:pPr>
        <w:pStyle w:val="TextBody"/>
        <w:bidi w:val="0"/>
        <w:spacing w:before="120" w:after="120"/>
        <w:ind w:left="0" w:right="0" w:firstLine="720"/>
        <w:jc w:val="both"/>
        <w:rPr/>
      </w:pPr>
      <w:r>
        <w:rPr/>
      </w:r>
    </w:p>
    <w:p>
      <w:pPr>
        <w:pStyle w:val="TextBody"/>
        <w:bidi w:val="0"/>
        <w:spacing w:before="120" w:after="120"/>
        <w:ind w:left="0" w:right="0" w:firstLine="720"/>
        <w:jc w:val="both"/>
        <w:rPr/>
      </w:pPr>
      <w:r>
        <w:rPr/>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_____________________ </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1.The floating interest rate on the line of credit is SOFR plus 0.10% plus 1.25% to 1.65%. During the quarter ended June 30, 2026, the effective interest rate on the line of credit borrowings was 4.97%.</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2.Reflects effective interest rate for the quarter ended June 30, 2026, including interest associated with the line of credit and amortization of deferred financing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46125"/>
                <wp:effectExtent l="0" t="0" r="0" b="0"/>
                <wp:wrapNone/>
                <wp:docPr id="24" name="Frame23"/>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15</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15</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tbl>
      <w:tblPr>
        <w:tblW w:w="7934" w:type="dxa"/>
        <w:jc w:val="center"/>
        <w:tblInd w:w="0" w:type="dxa"/>
        <w:tblLayout w:type="fixed"/>
        <w:tblCellMar>
          <w:top w:w="28" w:type="dxa"/>
          <w:left w:w="28" w:type="dxa"/>
          <w:bottom w:w="28" w:type="dxa"/>
          <w:right w:w="28" w:type="dxa"/>
        </w:tblCellMar>
      </w:tblPr>
      <w:tblGrid>
        <w:gridCol w:w="580"/>
        <w:gridCol w:w="509"/>
        <w:gridCol w:w="509"/>
        <w:gridCol w:w="509"/>
        <w:gridCol w:w="509"/>
        <w:gridCol w:w="509"/>
        <w:gridCol w:w="509"/>
        <w:gridCol w:w="509"/>
        <w:gridCol w:w="509"/>
        <w:gridCol w:w="509"/>
        <w:gridCol w:w="509"/>
        <w:gridCol w:w="509"/>
        <w:gridCol w:w="509"/>
        <w:gridCol w:w="509"/>
        <w:gridCol w:w="737"/>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7934"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Non-GAAP Financial Measures Definitions and Reconciliations</w:t>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Non-GAAP financial measures definitions do not include adjustments in respect to membership upgrade revenue: (i) FFO; (ii) Normalized FFO; (iii) EBITDAre; (iv) Adjusted EBITDAre; (v) Property operating revenues; (vi) Property operating expenses, excluding property management; and (vii) Income from property operations, excluding property management.</w:t>
      </w:r>
    </w:p>
    <w:p>
      <w:pPr>
        <w:pStyle w:val="TextBody"/>
        <w:bidi w:val="0"/>
        <w:spacing w:lineRule="auto" w:line="288" w:before="0" w:after="120"/>
        <w:jc w:val="both"/>
        <w:rPr/>
      </w:pPr>
      <w:r>
        <w:rPr>
          <w:rFonts w:ascii="Times New Roman;serif" w:hAnsi="Times New Roman;serif"/>
          <w:b/>
          <w:color w:val="000000"/>
          <w:sz w:val="20"/>
        </w:rPr>
        <w:t>FUNDS FROM OPERATIONS (FFO).</w:t>
      </w:r>
      <w:r>
        <w:rPr>
          <w:color w:val="000000"/>
        </w:rPr>
        <w:t xml:space="preserve"> </w:t>
      </w:r>
      <w:r>
        <w:rPr>
          <w:rFonts w:ascii="Times New Roman;serif" w:hAnsi="Times New Roman;serif"/>
          <w:b w:val="false"/>
          <w:color w:val="000000"/>
          <w:sz w:val="20"/>
        </w:rPr>
        <w:t>We define FFO as net income, computed in accordance with GAAP, excluding gains or losses from sales of properties, depreciation and amortization related to real estate, impairment charges and adjustments to reflect our share of FFO of unconsolidated joint ventures. Adjustments for unconsolidated joint ventures are calculated to reflect FFO on the same basis. We compute FFO in accordance with our interpretation of standards established by the National Association of Real Estate Investment Trusts (“NAREIT”), which may not be comparable to FFO reported by other REITs that do not define the term in accordance with the current NAREIT definition or that interpret the current NAREIT definition differently than we do.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believe FFO, as defined by the Board of Governors of NAREIT, is generally a measure of performance for an equity REIT. While FFO is a relevant and widely used measure of operating performance for equity REITs, it does not represent cash flow from operations or net income as defined by GAAP, and it should not be considered as an alternative to these indicators in evaluating liquidity or operating performance.</w:t>
      </w:r>
    </w:p>
    <w:p>
      <w:pPr>
        <w:pStyle w:val="TextBody"/>
        <w:bidi w:val="0"/>
        <w:spacing w:lineRule="auto" w:line="288" w:before="0" w:after="120"/>
        <w:jc w:val="both"/>
        <w:rPr/>
      </w:pPr>
      <w:r>
        <w:rPr>
          <w:rFonts w:ascii="Times New Roman;serif" w:hAnsi="Times New Roman;serif"/>
          <w:b/>
          <w:color w:val="000000"/>
          <w:sz w:val="20"/>
        </w:rPr>
        <w:t>NORMALIZED FUNDS FROM OPERATIONS (NORMALIZED FFO).</w:t>
      </w:r>
      <w:r>
        <w:rPr>
          <w:color w:val="000000"/>
        </w:rPr>
        <w:t xml:space="preserve"> </w:t>
      </w:r>
      <w:r>
        <w:rPr>
          <w:rFonts w:ascii="Times New Roman;serif" w:hAnsi="Times New Roman;serif"/>
          <w:b w:val="false"/>
          <w:color w:val="000000"/>
          <w:sz w:val="20"/>
        </w:rPr>
        <w:t>We define Normalized FFO as FFO excluding non-operating income and expense items, such as gains and losses from early debt extinguishment, including prepayment penalties, defeasance costs, transaction/pursuit costs and other, and other miscellaneous non-comparable items. Normalized FFO presented herein is not necessarily comparable to Normalized FFO presented by other real estate companies due to the fact that not all real estate companies use the same methodology for computing this amount.</w:t>
      </w:r>
    </w:p>
    <w:p>
      <w:pPr>
        <w:pStyle w:val="TextBody"/>
        <w:bidi w:val="0"/>
        <w:spacing w:lineRule="auto" w:line="288" w:before="0" w:after="120"/>
        <w:jc w:val="both"/>
        <w:rPr/>
      </w:pPr>
      <w:r>
        <w:rPr>
          <w:rFonts w:ascii="Times New Roman;serif" w:hAnsi="Times New Roman;serif"/>
          <w:b/>
          <w:color w:val="000000"/>
          <w:sz w:val="20"/>
        </w:rPr>
        <w:t xml:space="preserve">FUNDS AVAILABLE FOR DISTRIBUTION (FAD). </w:t>
      </w:r>
      <w:r>
        <w:rPr>
          <w:rFonts w:ascii="Times New Roman;serif" w:hAnsi="Times New Roman;serif"/>
          <w:b w:val="false"/>
          <w:color w:val="000000"/>
          <w:sz w:val="20"/>
        </w:rPr>
        <w:t>We define FAD as Normalized FFO less non-revenue producing capital expenditures.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believe that FFO, Normalized FFO and FAD are helpful to investors as supplemental measures of the performance of an equity REIT. We believe that by excluding the effect of gains or losses from sales of properties, depreciation and amortization related to real estate and impairment charges, which are based on historical costs and may be of limited relevance in evaluating current performance, FFO can facilitate comparisons of operating performance between periods and among other equity REITs. We further believe that Normalized FFO provides useful information to investors, analysts and our management because it allows them to compare our operating performance to the operating performance of other real estate companies and between periods on a consistent basis without having to account for differences not related to our normal operations. For example, we believe that excluding the early extinguishment of debt and other miscellaneous non-comparable items from FFO allows investors, analysts and our management to assess the sustainability of operating performance in future periods because these costs do not affect the future operations of the properties. In some cases, we provide information about identified non-cash components of FFO and Normalized FFO because it allows investors, analysts and our management to assess the impact of those items.</w:t>
      </w:r>
    </w:p>
    <w:p>
      <w:pPr>
        <w:pStyle w:val="TextBody"/>
        <w:bidi w:val="0"/>
        <w:spacing w:lineRule="auto" w:line="288" w:before="180" w:after="283"/>
        <w:jc w:val="both"/>
        <w:rPr/>
      </w:pPr>
      <w:r>
        <w:rPr>
          <w:rFonts w:ascii="Times New Roman;serif" w:hAnsi="Times New Roman;serif"/>
          <w:b/>
          <w:color w:val="000000"/>
          <w:sz w:val="20"/>
        </w:rPr>
        <w:t>INCOME FROM PROPERTY OPERATIONS, EXCLUDING PROPERTY MANAGEMENT.</w:t>
      </w:r>
      <w:r>
        <w:rPr>
          <w:color w:val="000000"/>
        </w:rPr>
        <w:t xml:space="preserve"> </w:t>
      </w:r>
      <w:r>
        <w:rPr>
          <w:rFonts w:ascii="Times New Roman;serif" w:hAnsi="Times New Roman;serif"/>
          <w:b w:val="false"/>
          <w:color w:val="000000"/>
          <w:sz w:val="20"/>
        </w:rPr>
        <w:t>We define Income from property operations, excluding property management as rental income, membership subscriptions and upgrade sales, utility and other income less property and rental home operating and maintenance expenses, real estate taxes, membership sales and marketing expenses, excluding property management expenses. Property management represents the expenses associated with indirect costs such as off-site payroll and certain administrative and professional expenses. We believe exclusion of property management expenses is helpful to investors and analysts as a measure of the operating results of our properties, excluding items that are not directly related to the operation of the properties. For comparative purposes, we present bad debt expense within Insurance and other in the current and prior periods. We believe that this Non-GAAP financial measure is helpful to investors and analysts as a measure of the operating results of our properties.</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46125"/>
                <wp:effectExtent l="0" t="0" r="0" b="0"/>
                <wp:wrapNone/>
                <wp:docPr id="25" name="Frame24"/>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16</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16</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available for Common Stockholders to Income from property operations:</w:t>
      </w:r>
    </w:p>
    <w:tbl>
      <w:tblPr>
        <w:tblW w:w="10205" w:type="dxa"/>
        <w:jc w:val="center"/>
        <w:tblInd w:w="0" w:type="dxa"/>
        <w:tblLayout w:type="fixed"/>
        <w:tblCellMar>
          <w:top w:w="28" w:type="dxa"/>
          <w:left w:w="28" w:type="dxa"/>
          <w:bottom w:w="28" w:type="dxa"/>
          <w:right w:w="28" w:type="dxa"/>
        </w:tblCellMar>
      </w:tblPr>
      <w:tblGrid>
        <w:gridCol w:w="1831"/>
        <w:gridCol w:w="1586"/>
        <w:gridCol w:w="1597"/>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183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for Common Stockholders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188,900 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perpetual preferred stock dividends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allocated to non-controlling interests – Common OP Units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197,886 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(income)/loss of unconsolidated joint ventures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(Gain)/Loss on sale of real estate and impairment,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revenues from home sales, brokered resales and ancillary services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other investments,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management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home sales, brokered resales and ancillary services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selling expenses and ancillary 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Casualty-related charges/(recoveries), net </w:t>
            </w:r>
            <w:r>
              <w:rPr>
                <w:rFonts w:ascii="Times New Roman;serif" w:hAnsi="Times New Roman;serif"/>
                <w:b w:val="false"/>
                <w:color w:val="000000"/>
                <w:sz w:val="12"/>
              </w:rPr>
              <w:t>(2)</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related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property operations, excluding property management</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436,561 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414,045 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management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property operations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187,132 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175,307 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396,045 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372,892 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lineRule="auto" w:line="288" w:before="80" w:after="283"/>
        <w:jc w:val="both"/>
        <w:rPr/>
      </w:pPr>
      <w:r>
        <w:rPr>
          <w:rFonts w:ascii="Times New Roman;serif" w:hAnsi="Times New Roman;serif"/>
          <w:b/>
          <w:color w:val="000000"/>
          <w:sz w:val="20"/>
        </w:rPr>
        <w:t>EARNINGS BEFORE INTEREST, TAX, DEPRECIATION AND AMORTIZATION FOR REAL ESTATE (EBITDAre) AND ADJUSTED EBITDAre.</w:t>
      </w:r>
      <w:r>
        <w:rPr>
          <w:color w:val="000000"/>
        </w:rPr>
        <w:t xml:space="preserve"> </w:t>
      </w:r>
      <w:r>
        <w:rPr>
          <w:rFonts w:ascii="Times New Roman;serif" w:hAnsi="Times New Roman;serif"/>
          <w:b w:val="false"/>
          <w:color w:val="000000"/>
          <w:sz w:val="20"/>
        </w:rPr>
        <w:t xml:space="preserve">We define EBITDAre as net income or loss excluding interest income and expense, income taxes, depreciation and amortization, gains or losses from sales of properties, impairment charges, and adjustments to reflect our share of EBITDAre of unconsolidated joint ventures. We compute EBITDAre in accordance with our interpretation of the standards established by NAREIT, which may not be comparable to EBITDAre reported by other REITs that do not define the term in accordance with the current NAREIT definition or that interpret the current NAREIT definition differently than we do.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define Adjusted EBITDAre as EBITDAre excluding non-operating income and expense items, such as gains and losses from early debt extinguishment, including prepayment penalties and defeasance costs, transaction/pursuit costs and other, and other miscellaneous non-comparable items.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that EBITDAre and Adjusted EBITDAre may be useful to an investor in evaluating our operating performance and liquidity because the measures are widely used to measure the operating performance of an equity REIT.</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______________________</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1.Includes $0.9 million and $2.0 million related to non-operating legal expenses during the quarter and six months ended June 30, 2026, respectively.</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2.Casualty-related charges/(recoveries), net for the quarter and six months ended June 30, 2026 includes insurance recovery revenue of $7.1 million for reimbursement of capital expenditures.</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605" cy="14605"/>
                <wp:effectExtent l="0" t="0" r="0" b="0"/>
                <wp:wrapNone/>
                <wp:docPr id="26" name="Frame2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17</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17</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Consolidated net income to EBITDAre and Adjusted EBITDAre:</w:t>
      </w:r>
    </w:p>
    <w:tbl>
      <w:tblPr>
        <w:tblW w:w="10205" w:type="dxa"/>
        <w:jc w:val="center"/>
        <w:tblInd w:w="0" w:type="dxa"/>
        <w:tblLayout w:type="fixed"/>
        <w:tblCellMar>
          <w:top w:w="28" w:type="dxa"/>
          <w:left w:w="28" w:type="dxa"/>
          <w:bottom w:w="28" w:type="dxa"/>
          <w:right w:w="28" w:type="dxa"/>
        </w:tblCellMar>
      </w:tblPr>
      <w:tblGrid>
        <w:gridCol w:w="1827"/>
        <w:gridCol w:w="1588"/>
        <w:gridCol w:w="159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1827"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197,886 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and related amortization </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(Gain)/Loss on sale of real estate and impairment,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our share of EBITDAre of unconsolidated joint ventures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EBITDAre</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170,544 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388,737 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368,118 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items </w:t>
            </w:r>
            <w:r>
              <w:rPr>
                <w:rFonts w:ascii="Times New Roman;serif" w:hAnsi="Times New Roman;serif"/>
                <w:b w:val="false"/>
                <w:color w:val="000000"/>
                <w:sz w:val="12"/>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proceeds due to catastrophic weather events,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EBITDAre</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182,562 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169,951 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383,711 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367,525 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80" w:after="283"/>
        <w:jc w:val="both"/>
        <w:rPr/>
      </w:pPr>
      <w:r>
        <w:rPr>
          <w:rFonts w:ascii="Times New Roman;serif" w:hAnsi="Times New Roman;serif"/>
          <w:b/>
          <w:color w:val="000000"/>
          <w:sz w:val="20"/>
        </w:rPr>
        <w:t xml:space="preserve">CORE PORTFOLIO or CORE. </w:t>
      </w:r>
      <w:r>
        <w:rPr>
          <w:rFonts w:ascii="Times New Roman;serif" w:hAnsi="Times New Roman;serif"/>
          <w:b w:val="false"/>
          <w:color w:val="000000"/>
          <w:sz w:val="20"/>
        </w:rPr>
        <w:t>The Core properties include properties we owned and operated during all of 2025 and 2026. We believe Core is a measure that is useful to investors for annual comparison as it removes the fluctuations associated with acquisitions, dispositions and significant transactions or unique situations.</w:t>
      </w:r>
    </w:p>
    <w:p>
      <w:pPr>
        <w:pStyle w:val="TextBody"/>
        <w:bidi w:val="0"/>
        <w:spacing w:lineRule="auto" w:line="288" w:before="180" w:after="283"/>
        <w:jc w:val="both"/>
        <w:rPr/>
      </w:pPr>
      <w:r>
        <w:rPr>
          <w:rFonts w:ascii="Times New Roman;serif" w:hAnsi="Times New Roman;serif"/>
          <w:b/>
          <w:color w:val="000000"/>
          <w:sz w:val="20"/>
        </w:rPr>
        <w:t xml:space="preserve">NON-CORE PORTFOLIO or NON-CORE. </w:t>
      </w:r>
      <w:r>
        <w:rPr>
          <w:rFonts w:ascii="Times New Roman;serif" w:hAnsi="Times New Roman;serif"/>
          <w:b w:val="false"/>
          <w:color w:val="000000"/>
          <w:sz w:val="20"/>
        </w:rPr>
        <w:t>The Non-Core properties in 2026 include properties that were not owned and operated during all of 2025 and 2026, including six properties in Florida impacted by Hurricane Ian, two properties in California that were impacted by storm and flooding events and seven acquired RVC properties. The 2026 guidance reflects Non-Core properties in 2026, which includes properties not owned and operated during all of 2025 and 2026.</w:t>
      </w:r>
    </w:p>
    <w:p>
      <w:pPr>
        <w:pStyle w:val="TextBody"/>
        <w:bidi w:val="0"/>
        <w:spacing w:lineRule="auto" w:line="288" w:before="180" w:after="283"/>
        <w:jc w:val="both"/>
        <w:rPr/>
      </w:pPr>
      <w:r>
        <w:rPr>
          <w:rFonts w:ascii="Times New Roman;serif" w:hAnsi="Times New Roman;serif"/>
          <w:b/>
          <w:color w:val="000000"/>
          <w:sz w:val="20"/>
        </w:rPr>
        <w:t xml:space="preserve">NON-REVENUE PRODUCING IMPROVEMENTS. </w:t>
      </w:r>
      <w:r>
        <w:rPr>
          <w:rFonts w:ascii="Times New Roman;serif" w:hAnsi="Times New Roman;serif"/>
          <w:b w:val="false"/>
          <w:color w:val="000000"/>
          <w:sz w:val="20"/>
        </w:rPr>
        <w:t>Represents capital expenditures that do not directly result in increased revenue or expense savings and are primarily comprised of common area improvements, furniture and mechanical improvements.</w:t>
      </w:r>
    </w:p>
    <w:p>
      <w:pPr>
        <w:pStyle w:val="TextBody"/>
        <w:bidi w:val="0"/>
        <w:spacing w:lineRule="auto" w:line="288" w:before="180" w:after="283"/>
        <w:jc w:val="both"/>
        <w:rPr/>
      </w:pPr>
      <w:r>
        <w:rPr>
          <w:rFonts w:ascii="Times New Roman;serif" w:hAnsi="Times New Roman;serif"/>
          <w:b/>
          <w:color w:val="000000"/>
          <w:sz w:val="20"/>
        </w:rPr>
        <w:t xml:space="preserve">FIXED CHARGES. </w:t>
      </w:r>
      <w:r>
        <w:rPr>
          <w:rFonts w:ascii="Times New Roman;serif" w:hAnsi="Times New Roman;serif"/>
          <w:b w:val="false"/>
          <w:color w:val="000000"/>
          <w:sz w:val="20"/>
        </w:rPr>
        <w:t>Fixed charges consist of interest expense, amortization of note premiums and debt issuance costs. The fixed charges ratio is calculated by dividing the trailing twelve months Adjusted EBITDAre by the sum of fixed charges and preferred stock dividends, if any, during the same period.</w:t>
      </w:r>
    </w:p>
    <w:p>
      <w:pPr>
        <w:pStyle w:val="TextBody"/>
        <w:bidi w:val="0"/>
        <w:spacing w:before="180" w:after="120"/>
        <w:jc w:val="both"/>
        <w:rPr/>
      </w:pPr>
      <w:r>
        <w:rPr/>
      </w:r>
    </w:p>
    <w:p>
      <w:pPr>
        <w:pStyle w:val="TextBody"/>
        <w:bidi w:val="0"/>
        <w:spacing w:before="180" w:after="120"/>
        <w:jc w:val="both"/>
        <w:rPr/>
      </w:pPr>
      <w:r>
        <w:rPr/>
      </w:r>
    </w:p>
    <w:p>
      <w:pPr>
        <w:pStyle w:val="TextBody"/>
        <w:bidi w:val="0"/>
        <w:spacing w:before="180" w:after="120"/>
        <w:jc w:val="both"/>
        <w:rPr/>
      </w:pPr>
      <w:r>
        <w:rPr/>
      </w:r>
    </w:p>
    <w:p>
      <w:pPr>
        <w:pStyle w:val="TextBody"/>
        <w:bidi w:val="0"/>
        <w:spacing w:before="180" w:after="120"/>
        <w:jc w:val="both"/>
        <w:rPr/>
      </w:pPr>
      <w:r>
        <w:rPr/>
      </w:r>
    </w:p>
    <w:p>
      <w:pPr>
        <w:pStyle w:val="TextBody"/>
        <w:bidi w:val="0"/>
        <w:spacing w:before="180" w:after="120"/>
        <w:jc w:val="both"/>
        <w:rPr/>
      </w:pPr>
      <w:r>
        <w:rPr/>
      </w:r>
    </w:p>
    <w:p>
      <w:pPr>
        <w:pStyle w:val="TextBody"/>
        <w:bidi w:val="0"/>
        <w:spacing w:before="180" w:after="120"/>
        <w:jc w:val="both"/>
        <w:rPr/>
      </w:pPr>
      <w:r>
        <w:rPr/>
      </w:r>
    </w:p>
    <w:p>
      <w:pPr>
        <w:pStyle w:val="TextBody"/>
        <w:bidi w:val="0"/>
        <w:spacing w:before="180" w:after="120"/>
        <w:jc w:val="both"/>
        <w:rPr/>
      </w:pPr>
      <w:r>
        <w:rPr/>
      </w:r>
    </w:p>
    <w:p>
      <w:pPr>
        <w:pStyle w:val="TextBody"/>
        <w:bidi w:val="0"/>
        <w:spacing w:before="180" w:after="120"/>
        <w:jc w:val="both"/>
        <w:rPr/>
      </w:pPr>
      <w:r>
        <w:rPr/>
      </w:r>
    </w:p>
    <w:p>
      <w:pPr>
        <w:pStyle w:val="TextBody"/>
        <w:bidi w:val="0"/>
        <w:spacing w:before="180" w:after="120"/>
        <w:jc w:val="both"/>
        <w:rPr/>
      </w:pPr>
      <w:r>
        <w:rPr/>
      </w:r>
    </w:p>
    <w:p>
      <w:pPr>
        <w:pStyle w:val="TextBody"/>
        <w:bidi w:val="0"/>
        <w:spacing w:before="180" w:after="120"/>
        <w:jc w:val="both"/>
        <w:rPr/>
      </w:pPr>
      <w:r>
        <w:rPr/>
      </w:r>
    </w:p>
    <w:p>
      <w:pPr>
        <w:pStyle w:val="TextBody"/>
        <w:bidi w:val="0"/>
        <w:spacing w:before="180" w:after="120"/>
        <w:jc w:val="both"/>
        <w:rPr/>
      </w:pPr>
      <w:r>
        <w:rPr/>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______________________</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1.Represents expenses of $0.9 million and $2.0 million related to non-operating legal expenses during the quarter ended and six months ended June 30, 2026, respectively.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46125"/>
                <wp:effectExtent l="0" t="0" r="0" b="0"/>
                <wp:wrapNone/>
                <wp:docPr id="27" name="Frame26"/>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18</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18</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80" w:after="120"/>
        <w:jc w:val="both"/>
        <w:rPr/>
      </w:pPr>
      <w:r>
        <w:rPr>
          <w:rFonts w:ascii="Times New Roman;serif" w:hAnsi="Times New Roman;serif"/>
          <w:b/>
          <w:color w:val="000000"/>
          <w:sz w:val="20"/>
        </w:rPr>
        <w:t>FORWARD-LOOKING NON-GAAP MEASURES.</w:t>
      </w:r>
      <w:r>
        <w:rPr>
          <w:color w:val="000000"/>
        </w:rPr>
        <w:t xml:space="preserve"> </w:t>
      </w:r>
      <w:r>
        <w:rPr>
          <w:rFonts w:ascii="Times New Roman;serif" w:hAnsi="Times New Roman;serif"/>
          <w:b w:val="false"/>
          <w:color w:val="000000"/>
          <w:sz w:val="20"/>
        </w:rPr>
        <w:t>The following table reconciles Net Income per Common Share - Fully Diluted guidance to FFO per Common Share and OP Unit - Fully Diluted guidance and Normalized FFO per Common Share and OP Unit - Fully diluted guidance:</w:t>
      </w:r>
    </w:p>
    <w:tbl>
      <w:tblPr>
        <w:tblW w:w="8800" w:type="dxa"/>
        <w:jc w:val="left"/>
        <w:tblInd w:w="0" w:type="dxa"/>
        <w:tblLayout w:type="fixed"/>
        <w:tblCellMar>
          <w:top w:w="28" w:type="dxa"/>
          <w:left w:w="28" w:type="dxa"/>
          <w:bottom w:w="28" w:type="dxa"/>
          <w:right w:w="28" w:type="dxa"/>
        </w:tblCellMar>
      </w:tblPr>
      <w:tblGrid>
        <w:gridCol w:w="2101"/>
        <w:gridCol w:w="1849"/>
        <w:gridCol w:w="1855"/>
        <w:gridCol w:w="444"/>
        <w:gridCol w:w="444"/>
        <w:gridCol w:w="446"/>
        <w:gridCol w:w="109"/>
        <w:gridCol w:w="109"/>
        <w:gridCol w:w="109"/>
        <w:gridCol w:w="390"/>
        <w:gridCol w:w="390"/>
        <w:gridCol w:w="554"/>
      </w:tblGrid>
      <w:tr>
        <w:trPr/>
        <w:tc>
          <w:tcPr>
            <w:tcW w:w="2101"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6D6D6D"/>
                <w:sz w:val="18"/>
              </w:rPr>
            </w:pPr>
            <w:r>
              <w:rPr>
                <w:rFonts w:ascii="Times New Roman;serif" w:hAnsi="Times New Roman;serif"/>
                <w:b/>
                <w:i/>
                <w:color w:val="6D6D6D"/>
                <w:sz w:val="18"/>
              </w:rPr>
              <w:t>(Unaudited)</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Third Quarter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Full Year </w:t>
              <w:br/>
              <w:t>2026</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 - Fully Diluted</w:t>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$0.48 to $0.54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$2.05 to $2.15</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and impairment, net</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FFO per Common Share and OP Unit - Fully Diluted </w:t>
            </w:r>
            <w:r>
              <w:rPr>
                <w:rFonts w:ascii="Times New Roman;serif" w:hAnsi="Times New Roman;serif"/>
                <w:b/>
                <w:color w:val="000000"/>
                <w:sz w:val="13"/>
              </w:rPr>
              <w:t>(1)</w:t>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$0.76 to $0.82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$3.15 to $3.25</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(0.03)</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Normalized FFO per Common Share and OP Unit - Fully Diluted </w:t>
            </w:r>
            <w:r>
              <w:rPr>
                <w:rFonts w:ascii="Times New Roman;serif" w:hAnsi="Times New Roman;serif"/>
                <w:b/>
                <w:color w:val="000000"/>
                <w:sz w:val="13"/>
              </w:rPr>
              <w:t>(1)</w:t>
            </w:r>
          </w:p>
        </w:tc>
        <w:tc>
          <w:tcPr>
            <w:tcW w:w="1334"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$0.76 to $0.82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$3.13 to $3.23</w:t>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______________________ </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1.Amounts may not foot due to rounding.</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This press release includes certain forward-looking information, including Core and Non-Core Income from property operations, excluding property management, that is not presented in accordance with GAAP. In reliance on the exception in Item 10(e)(1)(i)(B) of Regulation S-K, we do not provide a quantitative reconciliation of such forward-looking information to the most directly comparable financial measure calculated and presented in accordance with GAAP, where we are unable to provide a meaningful or accurate calculation or estimation of reconciling items and the information is not available without unreasonable effort. This includes, for example, (i) scheduled or implemented rate increases on community, resort and marina sites; (ii) scheduled or implemented rate increases in annual payments under membership subscriptions; (iii) occupancy changes; (iv) costs to restore property operations and potential revenue losses following storms or other unplanned events; and (v) other nonrecurring/unplanned income or expense items, which may not be within our control, may vary between periods and cannot be reasonably predicted. These unavailable reconciling items could significantly impact our future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46125"/>
                <wp:effectExtent l="0" t="0" r="0" b="0"/>
                <wp:wrapNone/>
                <wp:docPr id="28" name="Frame27"/>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r>
                                    <w:br w:type="page"/>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19</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7166"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837"/>
                        <w:gridCol w:w="837"/>
                        <w:gridCol w:w="1190"/>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518E"/>
                                <w:sz w:val="20"/>
                              </w:rPr>
                            </w:pPr>
                            <w:r>
                              <w:rPr>
                                <w:rFonts w:ascii="Times New Roman;serif" w:hAnsi="Times New Roman;serif"/>
                                <w:b/>
                                <w:color w:val="00518E"/>
                                <w:sz w:val="20"/>
                              </w:rPr>
                              <w:t>2Q 2026 Supplemental Financial Information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518E"/>
                                <w:sz w:val="20"/>
                              </w:rPr>
                            </w:pPr>
                            <w:r>
                              <w:rPr>
                                <w:rFonts w:ascii="Times New Roman;serif" w:hAnsi="Times New Roman;serif"/>
                                <w:b/>
                                <w:color w:val="00518E"/>
                                <w:sz w:val="20"/>
                              </w:rPr>
                              <w:t>19</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518E"/>
                                <w:sz w:val="20"/>
                              </w:rPr>
                            </w:pPr>
                            <w:r>
                              <w:rPr>
                                <w:rFonts w:ascii="Times New Roman;serif" w:hAnsi="Times New Roman;serif"/>
                                <w:b/>
                                <w:color w:val="00518E"/>
                                <w:sz w:val="20"/>
                              </w:rPr>
                              <w:t>Equity LifeStyle Properties, Inc.</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8704</Words>
  <Characters>47700</Characters>
  <CharactersWithSpaces>55239</CharactersWithSpaces>
  <Paragraphs>2198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